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F24C3">
      <w:pPr>
        <w:keepNext w:val="0"/>
        <w:keepLines w:val="0"/>
        <w:pageBreakBefore w:val="0"/>
        <w:widowControl w:val="0"/>
        <w:wordWrap/>
        <w:overflowPunct/>
        <w:topLinePunct w:val="0"/>
        <w:autoSpaceDE/>
        <w:autoSpaceDN/>
        <w:bidi w:val="0"/>
        <w:adjustRightInd/>
        <w:snapToGrid/>
        <w:spacing w:beforeLines="0" w:afterLines="0" w:line="580" w:lineRule="exact"/>
        <w:jc w:val="center"/>
        <w:textAlignment w:val="auto"/>
        <w:rPr>
          <w:rFonts w:hint="eastAsia" w:ascii="Times New Roman" w:hAnsi="Times New Roman" w:eastAsia="黑体" w:cs="Times New Roman"/>
          <w:color w:val="auto"/>
          <w:sz w:val="44"/>
          <w:szCs w:val="44"/>
          <w:lang w:val="en-US" w:eastAsia="zh-CN"/>
        </w:rPr>
      </w:pPr>
      <w:r>
        <w:rPr>
          <w:rFonts w:hint="eastAsia" w:ascii="Times New Roman" w:hAnsi="Times New Roman" w:eastAsia="黑体" w:cs="Times New Roman"/>
          <w:color w:val="auto"/>
          <w:sz w:val="44"/>
          <w:szCs w:val="44"/>
          <w:lang w:val="en-US" w:eastAsia="zh-CN"/>
        </w:rPr>
        <w:t>采购需求</w:t>
      </w:r>
    </w:p>
    <w:p w14:paraId="7D6E1EB8">
      <w:pPr>
        <w:keepNext w:val="0"/>
        <w:keepLines w:val="0"/>
        <w:pageBreakBefore w:val="0"/>
        <w:widowControl w:val="0"/>
        <w:wordWrap/>
        <w:overflowPunct/>
        <w:topLinePunct w:val="0"/>
        <w:autoSpaceDE/>
        <w:autoSpaceDN/>
        <w:bidi w:val="0"/>
        <w:adjustRightInd/>
        <w:snapToGrid/>
        <w:spacing w:beforeLines="0" w:afterLines="0" w:line="580" w:lineRule="exact"/>
        <w:ind w:firstLine="640" w:firstLineChars="200"/>
        <w:textAlignment w:val="auto"/>
        <w:rPr>
          <w:rFonts w:hint="eastAsia" w:ascii="Times New Roman" w:hAnsi="Times New Roman" w:eastAsia="黑体" w:cs="Times New Roman"/>
          <w:color w:val="auto"/>
          <w:sz w:val="32"/>
          <w:szCs w:val="32"/>
        </w:rPr>
      </w:pPr>
    </w:p>
    <w:p w14:paraId="1F63723D">
      <w:pPr>
        <w:keepNext w:val="0"/>
        <w:keepLines w:val="0"/>
        <w:pageBreakBefore w:val="0"/>
        <w:widowControl w:val="0"/>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一、抽查重点</w:t>
      </w:r>
      <w:bookmarkStart w:id="0" w:name="_GoBack"/>
      <w:bookmarkEnd w:id="0"/>
    </w:p>
    <w:p w14:paraId="35408307">
      <w:pPr>
        <w:keepNext w:val="0"/>
        <w:keepLines w:val="0"/>
        <w:pageBreakBefore w:val="0"/>
        <w:widowControl w:val="0"/>
        <w:wordWrap/>
        <w:overflowPunct/>
        <w:topLinePunct w:val="0"/>
        <w:autoSpaceDE/>
        <w:autoSpaceDN/>
        <w:bidi w:val="0"/>
        <w:adjustRightInd/>
        <w:snapToGrid/>
        <w:spacing w:beforeLines="0" w:afterLines="0" w:line="580" w:lineRule="exact"/>
        <w:ind w:firstLine="643" w:firstLineChars="200"/>
        <w:textAlignment w:val="auto"/>
        <w:rPr>
          <w:rFonts w:hint="default"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rPr>
        <w:t>（一）豇豆、芹菜质量安全监督抽查</w:t>
      </w:r>
    </w:p>
    <w:p w14:paraId="5505FD69">
      <w:pPr>
        <w:keepNext w:val="0"/>
        <w:keepLines w:val="0"/>
        <w:pageBreakBefore w:val="0"/>
        <w:widowControl w:val="0"/>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抽检品种须为确定上市产品，抽样单上须注明“抽样产品为确定上市产品”字样；检测参数以蔬菜禁用农药和常规农药为重点；抽检对象包括以商品生产为目的的豇豆、芹菜种植单位和农户。</w:t>
      </w:r>
    </w:p>
    <w:p w14:paraId="2D187AF7">
      <w:pPr>
        <w:keepNext w:val="0"/>
        <w:keepLines w:val="0"/>
        <w:pageBreakBefore w:val="0"/>
        <w:widowControl w:val="0"/>
        <w:wordWrap/>
        <w:overflowPunct/>
        <w:topLinePunct w:val="0"/>
        <w:autoSpaceDE/>
        <w:autoSpaceDN/>
        <w:bidi w:val="0"/>
        <w:adjustRightInd/>
        <w:snapToGrid/>
        <w:spacing w:beforeLines="0" w:afterLines="0" w:line="580" w:lineRule="exact"/>
        <w:ind w:firstLine="643" w:firstLineChars="200"/>
        <w:textAlignment w:val="auto"/>
        <w:rPr>
          <w:rFonts w:hint="default"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rPr>
        <w:t>（二）茶叶质量安全监督抽查</w:t>
      </w:r>
    </w:p>
    <w:p w14:paraId="47F9B6EB">
      <w:pPr>
        <w:keepNext w:val="0"/>
        <w:keepLines w:val="0"/>
        <w:pageBreakBefore w:val="0"/>
        <w:widowControl w:val="0"/>
        <w:wordWrap/>
        <w:overflowPunct/>
        <w:topLinePunct w:val="0"/>
        <w:autoSpaceDE/>
        <w:autoSpaceDN/>
        <w:bidi w:val="0"/>
        <w:adjustRightInd/>
        <w:snapToGrid/>
        <w:spacing w:beforeLines="0" w:afterLines="0" w:line="580" w:lineRule="exact"/>
        <w:ind w:firstLine="640" w:firstLineChars="200"/>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sz w:val="32"/>
          <w:szCs w:val="32"/>
        </w:rPr>
        <w:t>茶叶抽检种类包括鲜叶和干茶两种，根据农产品质量安全风险监测及日常巡查检查中发现的问题确定监测参数，包括</w:t>
      </w:r>
      <w:r>
        <w:rPr>
          <w:rFonts w:hint="eastAsia" w:ascii="Times New Roman" w:hAnsi="Times New Roman" w:eastAsia="仿宋_GB2312" w:cs="Times New Roman"/>
          <w:color w:val="auto"/>
          <w:kern w:val="2"/>
          <w:sz w:val="32"/>
          <w:szCs w:val="32"/>
        </w:rPr>
        <w:t>禁用农药和常规农药；抽检对象为生产企业和种植农户。</w:t>
      </w:r>
    </w:p>
    <w:p w14:paraId="002AC4AD">
      <w:pPr>
        <w:pStyle w:val="2"/>
        <w:keepNext w:val="0"/>
        <w:keepLines w:val="0"/>
        <w:pageBreakBefore w:val="0"/>
        <w:numPr>
          <w:ilvl w:val="0"/>
          <w:numId w:val="1"/>
        </w:numPr>
        <w:wordWrap/>
        <w:overflowPunct/>
        <w:topLinePunct w:val="0"/>
        <w:bidi w:val="0"/>
        <w:spacing w:beforeLines="0" w:afterLines="0" w:line="580" w:lineRule="exact"/>
        <w:ind w:firstLine="200"/>
        <w:rPr>
          <w:rFonts w:hint="eastAsia" w:eastAsia="仿宋_GB2312"/>
          <w:b/>
          <w:snapToGrid w:val="0"/>
          <w:color w:val="auto"/>
          <w:kern w:val="0"/>
          <w:sz w:val="32"/>
          <w:szCs w:val="32"/>
        </w:rPr>
      </w:pPr>
      <w:r>
        <w:rPr>
          <w:rFonts w:hint="eastAsia" w:eastAsia="仿宋_GB2312"/>
          <w:b/>
          <w:snapToGrid w:val="0"/>
          <w:color w:val="auto"/>
          <w:kern w:val="0"/>
          <w:sz w:val="32"/>
          <w:szCs w:val="32"/>
        </w:rPr>
        <w:t>水产品质量安全监督抽查</w:t>
      </w:r>
    </w:p>
    <w:p w14:paraId="0673B6D7">
      <w:pPr>
        <w:keepNext w:val="0"/>
        <w:keepLines w:val="0"/>
        <w:pageBreakBefore w:val="0"/>
        <w:widowControl w:val="0"/>
        <w:wordWrap/>
        <w:overflowPunct/>
        <w:topLinePunct w:val="0"/>
        <w:autoSpaceDE/>
        <w:autoSpaceDN/>
        <w:bidi w:val="0"/>
        <w:adjustRightInd/>
        <w:snapToGrid/>
        <w:spacing w:beforeLines="0" w:afterLines="0" w:line="580" w:lineRule="exact"/>
        <w:ind w:firstLine="640" w:firstLineChars="200"/>
        <w:textAlignment w:val="auto"/>
        <w:rPr>
          <w:rFonts w:hint="eastAsia" w:ascii="Times New Roman" w:hAnsi="Times New Roman" w:eastAsia="仿宋_GB2312" w:cs="Times New Roman"/>
          <w:b/>
          <w:color w:val="auto"/>
          <w:sz w:val="32"/>
          <w:szCs w:val="32"/>
        </w:rPr>
      </w:pPr>
      <w:r>
        <w:rPr>
          <w:rFonts w:hint="eastAsia" w:ascii="仿宋_GB2312" w:hAnsi="仿宋_GB2312" w:eastAsia="仿宋_GB2312" w:cs="仿宋_GB2312"/>
          <w:color w:val="auto"/>
          <w:sz w:val="32"/>
          <w:szCs w:val="32"/>
        </w:rPr>
        <w:t>抽检样品重点品种为“六条鱼”——鳊鱼、鲫鱼、乌鳢、黄鳝、大口黑鲈和牛蛙，其他品种为淡水小龙虾、黄颡鱼、草鱼、鲤鱼、鲢鱼、鳙鱼等。抽检对象以商品生产为目的的养殖场（户），其中“六条鱼”养殖场全覆盖。</w:t>
      </w:r>
    </w:p>
    <w:p w14:paraId="28CF2BC1">
      <w:pPr>
        <w:keepNext w:val="0"/>
        <w:keepLines w:val="0"/>
        <w:pageBreakBefore w:val="0"/>
        <w:widowControl w:val="0"/>
        <w:wordWrap/>
        <w:overflowPunct/>
        <w:topLinePunct w:val="0"/>
        <w:autoSpaceDE/>
        <w:autoSpaceDN/>
        <w:bidi w:val="0"/>
        <w:adjustRightInd/>
        <w:snapToGrid/>
        <w:spacing w:beforeLines="0" w:afterLines="0" w:line="580" w:lineRule="exact"/>
        <w:ind w:firstLine="643" w:firstLineChars="200"/>
        <w:textAlignment w:val="auto"/>
        <w:rPr>
          <w:rFonts w:hint="default"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rPr>
        <w:t>（四）其他农产品质量安全监督抽查</w:t>
      </w:r>
    </w:p>
    <w:p w14:paraId="1662ED7D">
      <w:pPr>
        <w:keepNext w:val="0"/>
        <w:keepLines w:val="0"/>
        <w:pageBreakBefore w:val="0"/>
        <w:widowControl w:val="0"/>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2"/>
          <w:sz w:val="32"/>
          <w:szCs w:val="32"/>
        </w:rPr>
        <w:t>聚焦上述农产品以外的重点品种、地方特色品种，以及近年来例行监测、专项监测发现问题较多的小宗品种等。检测参数以禁用农药及蔬菜、水果等特定农产品中禁限用农药，畜禽产品、水产品中禁用药品及其他化合物、产蛋期不得使用的兽药、停止使用兽药为重点；抽检对象包括种养殖基地（含基地仓储场所、运输车辆）、农产品生产企业、农民专业合作社、家庭农场、屠宰厂（场）和农户等</w:t>
      </w:r>
      <w:r>
        <w:rPr>
          <w:rFonts w:hint="eastAsia" w:ascii="Times New Roman" w:hAnsi="Times New Roman" w:eastAsia="仿宋_GB2312" w:cs="Times New Roman"/>
          <w:color w:val="0000FF"/>
          <w:sz w:val="32"/>
          <w:szCs w:val="32"/>
        </w:rPr>
        <w:t>。</w:t>
      </w:r>
    </w:p>
    <w:p w14:paraId="29084588">
      <w:pPr>
        <w:keepNext w:val="0"/>
        <w:keepLines w:val="0"/>
        <w:pageBreakBefore w:val="0"/>
        <w:widowControl w:val="0"/>
        <w:wordWrap/>
        <w:overflowPunct/>
        <w:topLinePunct w:val="0"/>
        <w:autoSpaceDE/>
        <w:autoSpaceDN/>
        <w:bidi w:val="0"/>
        <w:spacing w:beforeLines="0" w:afterLines="0" w:line="580" w:lineRule="exact"/>
        <w:ind w:firstLine="643"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rPr>
        <w:t>种植产品</w:t>
      </w:r>
      <w:r>
        <w:rPr>
          <w:rFonts w:hint="eastAsia" w:ascii="Times New Roman" w:hAnsi="Times New Roman" w:eastAsia="仿宋_GB2312" w:cs="Times New Roman"/>
          <w:color w:val="auto"/>
          <w:sz w:val="32"/>
          <w:szCs w:val="32"/>
        </w:rPr>
        <w:t>包括蔬菜、水果、中药材、食用菌。</w:t>
      </w:r>
    </w:p>
    <w:p w14:paraId="0C9FB586">
      <w:pPr>
        <w:keepNext w:val="0"/>
        <w:keepLines w:val="0"/>
        <w:pageBreakBefore w:val="0"/>
        <w:widowControl w:val="0"/>
        <w:wordWrap/>
        <w:overflowPunct/>
        <w:topLinePunct w:val="0"/>
        <w:autoSpaceDE/>
        <w:autoSpaceDN/>
        <w:bidi w:val="0"/>
        <w:spacing w:beforeLines="0" w:afterLines="0" w:line="580" w:lineRule="exact"/>
        <w:ind w:firstLine="643" w:firstLineChars="200"/>
        <w:jc w:val="both"/>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rPr>
        <w:t>畜禽产品</w:t>
      </w:r>
      <w:r>
        <w:rPr>
          <w:rFonts w:hint="eastAsia" w:ascii="Times New Roman" w:hAnsi="Times New Roman" w:eastAsia="仿宋_GB2312" w:cs="Times New Roman"/>
          <w:color w:val="auto"/>
          <w:sz w:val="32"/>
          <w:szCs w:val="32"/>
        </w:rPr>
        <w:t>包括猪肉、猪肝、牛肉、禽肉、禽蛋等。</w:t>
      </w:r>
    </w:p>
    <w:p w14:paraId="5A6C7611">
      <w:pPr>
        <w:keepNext w:val="0"/>
        <w:keepLines w:val="0"/>
        <w:pageBreakBefore w:val="0"/>
        <w:widowControl w:val="0"/>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二、检测参数</w:t>
      </w:r>
    </w:p>
    <w:p w14:paraId="41680BEC">
      <w:pPr>
        <w:keepNext w:val="0"/>
        <w:keepLines w:val="0"/>
        <w:pageBreakBefore w:val="0"/>
        <w:widowControl w:val="0"/>
        <w:wordWrap/>
        <w:overflowPunct/>
        <w:topLinePunct w:val="0"/>
        <w:autoSpaceDE/>
        <w:autoSpaceDN/>
        <w:bidi w:val="0"/>
        <w:spacing w:beforeLines="0" w:afterLines="0" w:line="580" w:lineRule="exact"/>
        <w:ind w:firstLine="643" w:firstLineChars="200"/>
        <w:jc w:val="both"/>
        <w:textAlignment w:val="auto"/>
        <w:rPr>
          <w:rFonts w:hint="default"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rPr>
        <w:t>（一）豇豆专项检测项目</w:t>
      </w:r>
    </w:p>
    <w:p w14:paraId="65495A5B">
      <w:pPr>
        <w:keepNext w:val="0"/>
        <w:keepLines w:val="0"/>
        <w:pageBreakBefore w:val="0"/>
        <w:widowControl w:val="0"/>
        <w:wordWrap/>
        <w:overflowPunct/>
        <w:topLinePunct w:val="0"/>
        <w:autoSpaceDE/>
        <w:autoSpaceDN/>
        <w:bidi w:val="0"/>
        <w:spacing w:beforeLines="0" w:afterLines="0" w:line="580" w:lineRule="exact"/>
        <w:ind w:firstLine="643" w:firstLineChars="200"/>
        <w:jc w:val="both"/>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rPr>
        <w:t>禁限用农药（11个）</w:t>
      </w:r>
      <w:r>
        <w:rPr>
          <w:rFonts w:hint="eastAsia" w:ascii="Times New Roman" w:hAnsi="Times New Roman" w:eastAsia="仿宋_GB2312" w:cs="Times New Roman"/>
          <w:color w:val="auto"/>
          <w:sz w:val="32"/>
          <w:szCs w:val="32"/>
        </w:rPr>
        <w:t>：克百威、三唑磷、甲拌磷、氧乐果、灭多威、甲基异柳磷、甲胺磷、乙酰甲胺磷、水胺硫磷、氟虫腈、毒死蜱；</w:t>
      </w:r>
      <w:r>
        <w:rPr>
          <w:rFonts w:hint="eastAsia" w:ascii="Times New Roman" w:hAnsi="Times New Roman" w:eastAsia="仿宋_GB2312" w:cs="Times New Roman"/>
          <w:b/>
          <w:color w:val="auto"/>
          <w:sz w:val="32"/>
          <w:szCs w:val="32"/>
        </w:rPr>
        <w:t>常规农药（8个）</w:t>
      </w:r>
      <w:r>
        <w:rPr>
          <w:rFonts w:hint="eastAsia" w:ascii="Times New Roman" w:hAnsi="Times New Roman" w:eastAsia="仿宋_GB2312" w:cs="Times New Roman"/>
          <w:color w:val="auto"/>
          <w:sz w:val="32"/>
          <w:szCs w:val="32"/>
        </w:rPr>
        <w:t>：灭蝇胺、甲氨基阿维菌素苯甲酸盐、噻虫嗪、啶虫脒、阿维菌素、氯虫苯甲酰胺、氯氟氰菊酯、倍硫磷。</w:t>
      </w:r>
    </w:p>
    <w:p w14:paraId="6DF85B82">
      <w:pPr>
        <w:keepNext w:val="0"/>
        <w:keepLines w:val="0"/>
        <w:pageBreakBefore w:val="0"/>
        <w:widowControl w:val="0"/>
        <w:wordWrap/>
        <w:overflowPunct/>
        <w:topLinePunct w:val="0"/>
        <w:autoSpaceDN/>
        <w:bidi w:val="0"/>
        <w:spacing w:beforeLines="0" w:afterLines="0" w:line="580" w:lineRule="exact"/>
        <w:ind w:firstLine="643" w:firstLineChars="200"/>
        <w:jc w:val="both"/>
        <w:rPr>
          <w:rFonts w:hint="default" w:ascii="Times New Roman" w:hAnsi="Times New Roman" w:eastAsia="仿宋_GB2312" w:cs="Times New Roman"/>
          <w:b/>
          <w:color w:val="auto"/>
          <w:sz w:val="32"/>
          <w:szCs w:val="32"/>
        </w:rPr>
      </w:pPr>
      <w:r>
        <w:rPr>
          <w:rFonts w:hint="eastAsia" w:ascii="仿宋_GB2312" w:hAnsi="Times New Roman" w:eastAsia="仿宋_GB2312" w:cs="仿宋_GB2312"/>
          <w:b/>
          <w:color w:val="auto"/>
          <w:sz w:val="32"/>
          <w:szCs w:val="32"/>
          <w:lang w:bidi="ar"/>
        </w:rPr>
        <w:t>（二）芹菜专项检测项目</w:t>
      </w:r>
    </w:p>
    <w:p w14:paraId="44759D55">
      <w:pPr>
        <w:keepNext w:val="0"/>
        <w:keepLines w:val="0"/>
        <w:pageBreakBefore w:val="0"/>
        <w:widowControl w:val="0"/>
        <w:wordWrap/>
        <w:overflowPunct/>
        <w:topLinePunct w:val="0"/>
        <w:autoSpaceDN/>
        <w:bidi w:val="0"/>
        <w:spacing w:beforeLines="0" w:afterLines="0" w:line="580" w:lineRule="exact"/>
        <w:ind w:firstLine="643" w:firstLineChars="200"/>
        <w:jc w:val="both"/>
        <w:rPr>
          <w:rFonts w:hint="default"/>
          <w:color w:val="auto"/>
          <w:sz w:val="21"/>
          <w:szCs w:val="21"/>
        </w:rPr>
      </w:pPr>
      <w:r>
        <w:rPr>
          <w:rFonts w:hint="eastAsia" w:ascii="仿宋_GB2312" w:hAnsi="Times New Roman" w:eastAsia="仿宋_GB2312" w:cs="仿宋_GB2312"/>
          <w:b/>
          <w:color w:val="auto"/>
          <w:sz w:val="32"/>
          <w:szCs w:val="32"/>
          <w:lang w:bidi="ar"/>
        </w:rPr>
        <w:t>禁限用农药（7个）</w:t>
      </w:r>
      <w:r>
        <w:rPr>
          <w:rFonts w:hint="eastAsia" w:ascii="仿宋_GB2312" w:hAnsi="Times New Roman" w:eastAsia="仿宋_GB2312" w:cs="仿宋_GB2312"/>
          <w:color w:val="auto"/>
          <w:sz w:val="32"/>
          <w:szCs w:val="32"/>
          <w:lang w:bidi="ar"/>
        </w:rPr>
        <w:t>：克百威、三唑磷、氧乐果、甲基异柳磷、甲拌磷、氟虫腈、毒死蜱；</w:t>
      </w:r>
      <w:r>
        <w:rPr>
          <w:rFonts w:hint="eastAsia" w:ascii="仿宋_GB2312" w:hAnsi="Times New Roman" w:eastAsia="仿宋_GB2312" w:cs="仿宋_GB2312"/>
          <w:b/>
          <w:color w:val="auto"/>
          <w:sz w:val="32"/>
          <w:szCs w:val="32"/>
          <w:lang w:bidi="ar"/>
        </w:rPr>
        <w:t>常规农药（11个）</w:t>
      </w:r>
      <w:r>
        <w:rPr>
          <w:rFonts w:hint="eastAsia" w:ascii="仿宋_GB2312" w:hAnsi="Times New Roman" w:eastAsia="仿宋_GB2312" w:cs="仿宋_GB2312"/>
          <w:color w:val="auto"/>
          <w:sz w:val="32"/>
          <w:szCs w:val="32"/>
          <w:lang w:bidi="ar"/>
        </w:rPr>
        <w:t>：阿维菌素、百菌清、辛硫磷、多菌灵、吡虫啉、啶虫脒、苯醚甲环唑、氯氟氰菊酯、草甘膦、甲萘威、嘧菌酯。</w:t>
      </w:r>
    </w:p>
    <w:p w14:paraId="7C91D38B">
      <w:pPr>
        <w:keepNext w:val="0"/>
        <w:keepLines w:val="0"/>
        <w:pageBreakBefore w:val="0"/>
        <w:widowControl w:val="0"/>
        <w:wordWrap/>
        <w:overflowPunct/>
        <w:topLinePunct w:val="0"/>
        <w:autoSpaceDE/>
        <w:autoSpaceDN/>
        <w:bidi w:val="0"/>
        <w:spacing w:beforeLines="0" w:afterLines="0" w:line="580" w:lineRule="exact"/>
        <w:ind w:firstLine="643" w:firstLineChars="200"/>
        <w:jc w:val="both"/>
        <w:textAlignment w:val="auto"/>
        <w:rPr>
          <w:rFonts w:hint="default"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rPr>
        <w:t>（三）茶叶检测项目</w:t>
      </w:r>
    </w:p>
    <w:p w14:paraId="492EC1D5">
      <w:pPr>
        <w:keepNext w:val="0"/>
        <w:keepLines w:val="0"/>
        <w:pageBreakBefore w:val="0"/>
        <w:widowControl w:val="0"/>
        <w:wordWrap/>
        <w:overflowPunct/>
        <w:topLinePunct w:val="0"/>
        <w:autoSpaceDE/>
        <w:autoSpaceDN/>
        <w:bidi w:val="0"/>
        <w:spacing w:beforeLines="0" w:afterLines="0" w:line="580" w:lineRule="exact"/>
        <w:ind w:firstLine="643" w:firstLineChars="200"/>
        <w:jc w:val="both"/>
        <w:textAlignment w:val="auto"/>
        <w:rPr>
          <w:rFonts w:hint="eastAsia" w:ascii="Times New Roman" w:hAnsi="Times New Roman" w:eastAsia="仿宋_GB2312" w:cs="Times New Roman"/>
          <w:color w:val="0000FF"/>
          <w:sz w:val="32"/>
          <w:szCs w:val="32"/>
        </w:rPr>
      </w:pPr>
      <w:r>
        <w:rPr>
          <w:rFonts w:hint="eastAsia" w:ascii="Times New Roman" w:hAnsi="Times New Roman" w:eastAsia="仿宋_GB2312" w:cs="Times New Roman"/>
          <w:b/>
          <w:color w:val="auto"/>
          <w:sz w:val="32"/>
          <w:szCs w:val="32"/>
        </w:rPr>
        <w:t>禁限用农药（9个）：</w:t>
      </w:r>
      <w:r>
        <w:rPr>
          <w:rFonts w:hint="eastAsia" w:ascii="Times New Roman" w:hAnsi="Times New Roman" w:eastAsia="仿宋_GB2312" w:cs="Times New Roman"/>
          <w:color w:val="auto"/>
          <w:sz w:val="32"/>
          <w:szCs w:val="32"/>
        </w:rPr>
        <w:t>甲胺磷、三氯杀螨醇、乙酰甲胺磷、氰戊菊酯和S-氰戊菊酯、克百威、硫丹、水胺硫磷、滴滴涕、灭多威；</w:t>
      </w:r>
      <w:r>
        <w:rPr>
          <w:rFonts w:hint="eastAsia" w:ascii="Times New Roman" w:hAnsi="Times New Roman" w:eastAsia="仿宋_GB2312" w:cs="Times New Roman"/>
          <w:b/>
          <w:color w:val="auto"/>
          <w:sz w:val="32"/>
          <w:szCs w:val="32"/>
        </w:rPr>
        <w:t>常规农药（23个）：</w:t>
      </w:r>
      <w:r>
        <w:rPr>
          <w:rFonts w:hint="eastAsia" w:ascii="Times New Roman" w:hAnsi="Times New Roman" w:eastAsia="仿宋_GB2312" w:cs="Times New Roman"/>
          <w:color w:val="auto"/>
          <w:sz w:val="32"/>
          <w:szCs w:val="32"/>
        </w:rPr>
        <w:t>草甘膦、草铵膦、溴氰菊酯、甲氰菊酯、丁醚脲、噻虫嗪、联苯菊酯、啶虫眯、吡虫啉、氯氟氰菊酯和高效氯氟氰菊酯、毒死蝉、氟氯氰菊酯和高效氟氯氰菊酯、噻嗪酮、氯氰菊酯和高效氯氰菊酯、甲氨基阿维菌素苯甲酸盐、溴氯菊酯、茚虫威、多菌灵、百菌清、苯谜甲环唑、哒螨灵、吡唑醚菌酯、杀螟硫磷。</w:t>
      </w:r>
    </w:p>
    <w:p w14:paraId="38514658">
      <w:pPr>
        <w:keepNext w:val="0"/>
        <w:keepLines w:val="0"/>
        <w:pageBreakBefore w:val="0"/>
        <w:widowControl w:val="0"/>
        <w:wordWrap/>
        <w:overflowPunct/>
        <w:topLinePunct w:val="0"/>
        <w:autoSpaceDE/>
        <w:autoSpaceDN/>
        <w:bidi w:val="0"/>
        <w:adjustRightInd/>
        <w:snapToGrid/>
        <w:spacing w:beforeLines="0" w:afterLines="0" w:line="580" w:lineRule="exact"/>
        <w:ind w:firstLine="643" w:firstLineChars="200"/>
        <w:jc w:val="both"/>
        <w:textAlignment w:val="auto"/>
        <w:rPr>
          <w:rFonts w:hint="default"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rPr>
        <w:t>（四）其他种植业产品检测项目</w:t>
      </w:r>
    </w:p>
    <w:p w14:paraId="6BE3C160">
      <w:pPr>
        <w:keepNext w:val="0"/>
        <w:keepLines w:val="0"/>
        <w:pageBreakBefore w:val="0"/>
        <w:widowControl w:val="0"/>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甲胺磷、氧乐果、甲拌磷、对硫磷、甲基对硫磷、甲基异柳磷、涕灭威、灭多威、克百威、氟虫腈、乐果、内吸磷、久效磷、水胺硫磷、乙酰甲胺磷、氯唑磷、虫螨腈、苯醚甲环唑、阿维菌素、甲氨基阿维菌素苯甲酸盐、氟啶虫酰胺、吡虫啉、氯吡脲（膨大剂）、噻苯隆（膨大剂）、毒死蜱、三唑磷。</w:t>
      </w:r>
    </w:p>
    <w:p w14:paraId="1186B8FC">
      <w:pPr>
        <w:keepNext w:val="0"/>
        <w:keepLines w:val="0"/>
        <w:pageBreakBefore w:val="0"/>
        <w:widowControl w:val="0"/>
        <w:wordWrap/>
        <w:overflowPunct/>
        <w:topLinePunct w:val="0"/>
        <w:autoSpaceDE/>
        <w:autoSpaceDN/>
        <w:bidi w:val="0"/>
        <w:spacing w:beforeLines="0" w:afterLines="0" w:line="580" w:lineRule="exact"/>
        <w:ind w:firstLine="643" w:firstLineChars="200"/>
        <w:jc w:val="both"/>
        <w:textAlignment w:val="auto"/>
        <w:rPr>
          <w:rFonts w:hint="default"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rPr>
        <w:t>（五）畜禽产品检测项目</w:t>
      </w:r>
    </w:p>
    <w:p w14:paraId="55EA13D3">
      <w:pPr>
        <w:keepNext w:val="0"/>
        <w:keepLines w:val="0"/>
        <w:pageBreakBefore w:val="0"/>
        <w:widowControl w:val="0"/>
        <w:wordWrap/>
        <w:overflowPunct/>
        <w:topLinePunct w:val="0"/>
        <w:autoSpaceDE/>
        <w:autoSpaceDN/>
        <w:bidi w:val="0"/>
        <w:adjustRightInd/>
        <w:snapToGrid/>
        <w:spacing w:beforeLines="0" w:afterLines="0" w:line="580" w:lineRule="exact"/>
        <w:ind w:firstLine="643"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rPr>
        <w:t>家畜类</w:t>
      </w:r>
      <w:r>
        <w:rPr>
          <w:rFonts w:hint="eastAsia" w:ascii="Times New Roman" w:hAnsi="Times New Roman" w:eastAsia="仿宋_GB2312" w:cs="Times New Roman"/>
          <w:color w:val="auto"/>
          <w:sz w:val="32"/>
          <w:szCs w:val="32"/>
        </w:rPr>
        <w:t>：克伦特罗、莱克多巴胺、沙丁胺醇、氯霉素、地塞米松、倍他米松。</w:t>
      </w:r>
    </w:p>
    <w:p w14:paraId="25853F29">
      <w:pPr>
        <w:keepNext w:val="0"/>
        <w:keepLines w:val="0"/>
        <w:pageBreakBefore w:val="0"/>
        <w:widowControl w:val="0"/>
        <w:wordWrap/>
        <w:overflowPunct/>
        <w:topLinePunct w:val="0"/>
        <w:autoSpaceDE/>
        <w:autoSpaceDN/>
        <w:bidi w:val="0"/>
        <w:adjustRightInd/>
        <w:snapToGrid/>
        <w:spacing w:beforeLines="0" w:afterLines="0" w:line="580" w:lineRule="exact"/>
        <w:ind w:firstLine="643"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rPr>
        <w:t>禽肉</w:t>
      </w:r>
      <w:r>
        <w:rPr>
          <w:rFonts w:hint="eastAsia" w:ascii="Times New Roman" w:hAnsi="Times New Roman" w:eastAsia="仿宋_GB2312" w:cs="Times New Roman"/>
          <w:color w:val="auto"/>
          <w:sz w:val="32"/>
          <w:szCs w:val="32"/>
        </w:rPr>
        <w:t>：硝基呋喃类、氯霉素、氧氟沙星、培氟沙星、诺氟沙星、洛美沙星。</w:t>
      </w:r>
    </w:p>
    <w:p w14:paraId="7E9EA1A6">
      <w:pPr>
        <w:keepNext w:val="0"/>
        <w:keepLines w:val="0"/>
        <w:pageBreakBefore w:val="0"/>
        <w:widowControl w:val="0"/>
        <w:wordWrap/>
        <w:overflowPunct/>
        <w:topLinePunct w:val="0"/>
        <w:autoSpaceDE/>
        <w:autoSpaceDN/>
        <w:bidi w:val="0"/>
        <w:adjustRightInd/>
        <w:snapToGrid/>
        <w:spacing w:beforeLines="0" w:afterLines="0" w:line="580" w:lineRule="exact"/>
        <w:ind w:firstLine="643"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rPr>
        <w:t>禽蛋</w:t>
      </w:r>
      <w:r>
        <w:rPr>
          <w:rFonts w:hint="eastAsia" w:ascii="Times New Roman" w:hAnsi="Times New Roman" w:eastAsia="仿宋_GB2312" w:cs="Times New Roman"/>
          <w:color w:val="auto"/>
          <w:sz w:val="32"/>
          <w:szCs w:val="32"/>
        </w:rPr>
        <w:t>：恩诺沙星、环丙沙星、氟苯尼考（包括氟苯尼考胺）、氧氟沙星、培氟沙星、诺氟沙星、洛美沙星、甲硝唑、地美硝唑、多西环素、氯霉素。</w:t>
      </w:r>
    </w:p>
    <w:p w14:paraId="7809EE33">
      <w:pPr>
        <w:keepNext w:val="0"/>
        <w:keepLines w:val="0"/>
        <w:pageBreakBefore w:val="0"/>
        <w:widowControl w:val="0"/>
        <w:wordWrap/>
        <w:overflowPunct/>
        <w:topLinePunct w:val="0"/>
        <w:autoSpaceDE/>
        <w:autoSpaceDN/>
        <w:bidi w:val="0"/>
        <w:spacing w:beforeLines="0" w:afterLines="0" w:line="580" w:lineRule="exact"/>
        <w:ind w:firstLine="643" w:firstLineChars="200"/>
        <w:jc w:val="both"/>
        <w:textAlignment w:val="auto"/>
        <w:rPr>
          <w:rFonts w:hint="default"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rPr>
        <w:t>（六）水产品检测项目</w:t>
      </w:r>
    </w:p>
    <w:p w14:paraId="05569F39">
      <w:pPr>
        <w:keepNext w:val="0"/>
        <w:keepLines w:val="0"/>
        <w:pageBreakBefore w:val="0"/>
        <w:wordWrap/>
        <w:overflowPunct/>
        <w:topLinePunct w:val="0"/>
        <w:bidi w:val="0"/>
        <w:spacing w:line="580" w:lineRule="exact"/>
        <w:ind w:firstLine="640" w:firstLineChars="200"/>
      </w:pPr>
      <w:r>
        <w:rPr>
          <w:rFonts w:hint="eastAsia" w:ascii="Times New Roman" w:hAnsi="Times New Roman" w:eastAsia="仿宋_GB2312" w:cs="Times New Roman"/>
          <w:color w:val="auto"/>
          <w:sz w:val="32"/>
          <w:szCs w:val="32"/>
        </w:rPr>
        <w:t>养殖过程中（8种）：氯霉素、孔雀石绿、硝基呋喃类（包括代谢物AOZ、AMOZ、AHD、SEM）、氧氟沙星、培氟沙星、诺氟沙星、洛美沙星、地西泮。已出塘上市产品（10种）：恩诺沙星、环丙沙星、磺胺嘧啶、磺胺二甲基嘧啶、磺胺间二甲氧嘧啶、磺胺异恶唑（磺胺二甲异恶唑）、磺胺甲基异恶唑（磺胺甲恶唑）、氟苯尼考、氟苯尼考胺、甲氧苄啶。仍在养殖过程中的检测养殖水产品中禁用的药物及其他化合物、停用药物、未经批准在水产养殖中使用的药物，抽样单上须注明“抽样产品未出塘、未上市”字样。已出塘上市的同步检测禁（停）用药物和常规药物，抽样单上须注明“抽样产品已出塘、确定为上市产品”字样。</w:t>
      </w:r>
    </w:p>
    <w:sectPr>
      <w:footerReference r:id="rId4" w:type="default"/>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7B17A">
    <w:pPr>
      <w:pStyle w:val="3"/>
      <w:spacing w:beforeLines="0" w:afterLines="0" w:line="14" w:lineRule="auto"/>
      <w:rPr>
        <w:rFonts w:hint="default"/>
        <w:sz w:val="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568867"/>
    <w:multiLevelType w:val="multilevel"/>
    <w:tmpl w:val="92568867"/>
    <w:lvl w:ilvl="0" w:tentative="0">
      <w:start w:val="3"/>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1A35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kinsoku w:val="0"/>
      <w:autoSpaceDE w:val="0"/>
      <w:autoSpaceDN w:val="0"/>
      <w:adjustRightInd w:val="0"/>
      <w:snapToGrid w:val="0"/>
      <w:spacing w:beforeLines="0" w:afterLines="0"/>
      <w:textAlignment w:val="baseline"/>
    </w:pPr>
    <w:rPr>
      <w:rFonts w:hint="default" w:ascii="Arial" w:hAnsi="Arial" w:cs="Arial"/>
      <w:snapToGrid w:val="0"/>
      <w:color w:val="000000"/>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5"/>
    <w:unhideWhenUsed/>
    <w:qFormat/>
    <w:uiPriority w:val="0"/>
    <w:pPr>
      <w:widowControl w:val="0"/>
      <w:spacing w:beforeLines="0" w:afterLines="0"/>
      <w:ind w:firstLine="200" w:firstLineChars="200"/>
      <w:jc w:val="both"/>
    </w:pPr>
    <w:rPr>
      <w:rFonts w:hint="default" w:ascii="Times New Roman" w:hAnsi="Times New Roman" w:eastAsia="宋体" w:cs="Times New Roman"/>
      <w:kern w:val="2"/>
      <w:sz w:val="24"/>
      <w:szCs w:val="22"/>
      <w:lang w:val="en-US" w:eastAsia="zh-CN" w:bidi="ar-SA"/>
    </w:rPr>
  </w:style>
  <w:style w:type="paragraph" w:styleId="3">
    <w:name w:val="Body Text"/>
    <w:basedOn w:val="1"/>
    <w:unhideWhenUsed/>
    <w:qFormat/>
    <w:uiPriority w:val="0"/>
    <w:pPr>
      <w:spacing w:beforeLines="0" w:after="120" w:afterLines="0"/>
    </w:pPr>
    <w:rPr>
      <w:rFonts w:hint="default"/>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2025-12-31T08:20:00Z</dcterms:created>
  <dc:creator>七七</dc:creator>
  <cp:lastModifiedBy>七七</cp:lastModifiedBy>
  <dcterms:modified xsi:type="dcterms:W3CDTF">2025-12-31T08:22:17Z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719CBA39144F4AA884DCE7915B103EAC_11</vt:lpwstr>
  </property>
  <property fmtid="{D5CDD505-2E9C-101B-9397-08002B2CF9AE}" pid="4" name="KSOTemplateDocerSaveRecord">
    <vt:lpwstr>eyJoZGlkIjoiM2M3ZDdmMTI0YjZjN2RlNDM5NTY0NjAzODA3MWZkNjYiLCJ1c2VySWQiOiIyNjc4OTQ2MDMifQ==</vt:lpwstr>
  </property>
</Properties>
</file>