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2F33C"/>
    <w:p w14:paraId="2A3D3F95"/>
    <w:p w14:paraId="796CF218"/>
    <w:p w14:paraId="1C0B2069"/>
    <w:p w14:paraId="3E430EC6"/>
    <w:p w14:paraId="6CED0CB7"/>
    <w:p w14:paraId="3ED5D6BC"/>
    <w:p w14:paraId="482F6964">
      <w:pPr>
        <w:spacing w:line="600" w:lineRule="exact"/>
        <w:jc w:val="center"/>
        <w:rPr>
          <w:sz w:val="32"/>
          <w:szCs w:val="32"/>
        </w:rPr>
      </w:pPr>
      <w:r>
        <w:rPr>
          <w:rFonts w:hint="eastAsia"/>
          <w:sz w:val="32"/>
          <w:szCs w:val="32"/>
        </w:rPr>
        <w:t>裕农〔</w:t>
      </w:r>
      <w:r>
        <w:rPr>
          <w:sz w:val="32"/>
          <w:szCs w:val="32"/>
        </w:rPr>
        <w:t>2022</w:t>
      </w:r>
      <w:r>
        <w:rPr>
          <w:rFonts w:hint="eastAsia"/>
          <w:sz w:val="32"/>
          <w:szCs w:val="32"/>
        </w:rPr>
        <w:t>〕105号</w:t>
      </w:r>
    </w:p>
    <w:p w14:paraId="470AA791"/>
    <w:p w14:paraId="6352F24A"/>
    <w:p w14:paraId="463A44DB">
      <w:pPr>
        <w:spacing w:line="540" w:lineRule="exact"/>
        <w:jc w:val="center"/>
        <w:rPr>
          <w:rFonts w:eastAsia="方正小标宋简体"/>
          <w:spacing w:val="-6"/>
          <w:sz w:val="44"/>
          <w:szCs w:val="44"/>
        </w:rPr>
      </w:pPr>
      <w:r>
        <w:rPr>
          <w:rFonts w:hint="eastAsia" w:eastAsia="方正小标宋简体"/>
          <w:spacing w:val="-6"/>
          <w:sz w:val="44"/>
          <w:szCs w:val="44"/>
        </w:rPr>
        <w:t>六安市裕安区农业农村局</w:t>
      </w:r>
      <w:r>
        <w:rPr>
          <w:rFonts w:eastAsia="方正小标宋简体"/>
          <w:spacing w:val="-6"/>
          <w:sz w:val="44"/>
          <w:szCs w:val="44"/>
        </w:rPr>
        <w:t xml:space="preserve"> </w:t>
      </w:r>
      <w:r>
        <w:rPr>
          <w:rFonts w:hint="eastAsia" w:eastAsia="方正小标宋简体"/>
          <w:spacing w:val="-6"/>
          <w:sz w:val="44"/>
          <w:szCs w:val="44"/>
        </w:rPr>
        <w:t>六安市裕安区发展和改革委员会关于印发《裕安区</w:t>
      </w:r>
      <w:r>
        <w:rPr>
          <w:rFonts w:eastAsia="方正小标宋简体"/>
          <w:spacing w:val="-6"/>
          <w:sz w:val="44"/>
          <w:szCs w:val="44"/>
        </w:rPr>
        <w:t>“</w:t>
      </w:r>
      <w:r>
        <w:rPr>
          <w:rFonts w:hint="eastAsia" w:eastAsia="方正小标宋简体"/>
          <w:spacing w:val="-6"/>
          <w:sz w:val="44"/>
          <w:szCs w:val="44"/>
        </w:rPr>
        <w:t>十四五</w:t>
      </w:r>
      <w:r>
        <w:rPr>
          <w:rFonts w:eastAsia="方正小标宋简体"/>
          <w:spacing w:val="-6"/>
          <w:sz w:val="44"/>
          <w:szCs w:val="44"/>
        </w:rPr>
        <w:t>”</w:t>
      </w:r>
    </w:p>
    <w:p w14:paraId="11D53281">
      <w:pPr>
        <w:spacing w:line="540" w:lineRule="exact"/>
        <w:jc w:val="center"/>
        <w:rPr>
          <w:rFonts w:eastAsia="方正小标宋简体"/>
          <w:spacing w:val="-6"/>
          <w:sz w:val="44"/>
          <w:szCs w:val="44"/>
        </w:rPr>
      </w:pPr>
      <w:r>
        <w:rPr>
          <w:rFonts w:hint="eastAsia" w:eastAsia="方正小标宋简体"/>
          <w:spacing w:val="-6"/>
          <w:sz w:val="44"/>
          <w:szCs w:val="44"/>
        </w:rPr>
        <w:t>农业农村现代化规划》的通知</w:t>
      </w:r>
    </w:p>
    <w:p w14:paraId="70809834">
      <w:pPr>
        <w:spacing w:line="600" w:lineRule="exact"/>
        <w:rPr>
          <w:sz w:val="32"/>
          <w:szCs w:val="32"/>
        </w:rPr>
      </w:pPr>
    </w:p>
    <w:p w14:paraId="1BAB8F06">
      <w:pPr>
        <w:spacing w:line="600" w:lineRule="exact"/>
        <w:rPr>
          <w:sz w:val="32"/>
          <w:szCs w:val="32"/>
        </w:rPr>
      </w:pPr>
      <w:r>
        <w:rPr>
          <w:sz w:val="32"/>
          <w:szCs w:val="32"/>
        </w:rPr>
        <w:t>各乡镇人民政府，区直有关单位：</w:t>
      </w:r>
    </w:p>
    <w:p w14:paraId="1875B141">
      <w:pPr>
        <w:spacing w:line="600" w:lineRule="exact"/>
        <w:ind w:firstLine="624" w:firstLineChars="200"/>
        <w:rPr>
          <w:sz w:val="32"/>
          <w:szCs w:val="32"/>
        </w:rPr>
      </w:pPr>
      <w:r>
        <w:rPr>
          <w:sz w:val="32"/>
          <w:szCs w:val="32"/>
        </w:rPr>
        <w:t>现将《裕安区“十四五”农业农村现代化规划》印发给你们，请结合实际，认真抓好贯彻落实。</w:t>
      </w:r>
    </w:p>
    <w:p w14:paraId="3E12D402">
      <w:pPr>
        <w:spacing w:line="600" w:lineRule="exact"/>
        <w:rPr>
          <w:sz w:val="32"/>
          <w:szCs w:val="32"/>
        </w:rPr>
      </w:pPr>
    </w:p>
    <w:p w14:paraId="36BCD221">
      <w:pPr>
        <w:spacing w:line="600" w:lineRule="exact"/>
        <w:rPr>
          <w:sz w:val="32"/>
          <w:szCs w:val="32"/>
        </w:rPr>
      </w:pPr>
    </w:p>
    <w:p w14:paraId="7FC4B23E">
      <w:pPr>
        <w:spacing w:line="600" w:lineRule="exact"/>
        <w:ind w:firstLine="156" w:firstLineChars="50"/>
        <w:rPr>
          <w:sz w:val="32"/>
          <w:szCs w:val="32"/>
        </w:rPr>
      </w:pPr>
      <w:r>
        <w:rPr>
          <w:sz w:val="32"/>
          <w:szCs w:val="32"/>
        </w:rPr>
        <w:t>六安市裕安区农业农村局   六安市裕安区发展和改革委员会</w:t>
      </w:r>
    </w:p>
    <w:p w14:paraId="7547FC16">
      <w:pPr>
        <w:spacing w:line="600" w:lineRule="exact"/>
        <w:ind w:firstLine="5438" w:firstLineChars="1743"/>
        <w:rPr>
          <w:sz w:val="32"/>
          <w:szCs w:val="32"/>
        </w:rPr>
      </w:pPr>
      <w:r>
        <w:rPr>
          <w:sz w:val="32"/>
          <w:szCs w:val="32"/>
        </w:rPr>
        <w:t>2022年5月30日</w:t>
      </w:r>
    </w:p>
    <w:p w14:paraId="0154275B">
      <w:pPr>
        <w:spacing w:line="600" w:lineRule="exact"/>
        <w:ind w:firstLine="4741" w:firstLineChars="1743"/>
        <w:rPr>
          <w:szCs w:val="32"/>
        </w:rPr>
      </w:pPr>
    </w:p>
    <w:p w14:paraId="5BEAD146">
      <w:pPr>
        <w:spacing w:line="600" w:lineRule="exact"/>
        <w:rPr>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588" w:left="1588" w:header="1134" w:footer="1134" w:gutter="0"/>
          <w:pgNumType w:fmt="upperRoman" w:start="1"/>
          <w:cols w:space="720" w:num="1"/>
          <w:titlePg/>
          <w:docGrid w:type="linesAndChars" w:linePitch="597" w:charSpace="-1683"/>
        </w:sectPr>
      </w:pPr>
    </w:p>
    <w:p w14:paraId="12D6DF9F">
      <w:pPr>
        <w:spacing w:beforeLines="50" w:afterLines="50" w:line="560" w:lineRule="exact"/>
        <w:jc w:val="center"/>
        <w:rPr>
          <w:rFonts w:eastAsia="方正小标宋简体"/>
          <w:kern w:val="0"/>
          <w:sz w:val="44"/>
          <w:szCs w:val="44"/>
        </w:rPr>
      </w:pPr>
      <w:r>
        <w:rPr>
          <w:rFonts w:eastAsia="方正小标宋简体"/>
          <w:kern w:val="0"/>
          <w:sz w:val="44"/>
          <w:szCs w:val="44"/>
        </w:rPr>
        <w:t>裕安区“十四五”农业农村现代化规划</w:t>
      </w:r>
    </w:p>
    <w:p w14:paraId="596264B0">
      <w:pPr>
        <w:spacing w:beforeLines="50" w:afterLines="50"/>
        <w:jc w:val="center"/>
        <w:rPr>
          <w:rFonts w:eastAsia="黑体"/>
          <w:sz w:val="36"/>
          <w:szCs w:val="36"/>
        </w:rPr>
      </w:pPr>
      <w:r>
        <w:rPr>
          <w:rFonts w:eastAsia="黑体"/>
          <w:sz w:val="36"/>
          <w:szCs w:val="36"/>
        </w:rPr>
        <w:t xml:space="preserve">目  录 </w:t>
      </w:r>
    </w:p>
    <w:p w14:paraId="17FD21D3">
      <w:pPr>
        <w:pStyle w:val="13"/>
        <w:tabs>
          <w:tab w:val="right" w:leader="dot" w:pos="8296"/>
        </w:tabs>
        <w:spacing w:line="520" w:lineRule="exact"/>
        <w:ind w:firstLine="272" w:firstLineChars="100"/>
        <w:rPr>
          <w:rFonts w:eastAsia="黑体"/>
          <w:sz w:val="28"/>
          <w:szCs w:val="28"/>
        </w:rPr>
      </w:pPr>
      <w:r>
        <w:rPr>
          <w:sz w:val="28"/>
          <w:szCs w:val="28"/>
        </w:rPr>
        <w:fldChar w:fldCharType="begin"/>
      </w:r>
      <w:r>
        <w:rPr>
          <w:sz w:val="28"/>
          <w:szCs w:val="28"/>
        </w:rPr>
        <w:instrText xml:space="preserve">TOC \o "1-2" \h \u </w:instrText>
      </w:r>
      <w:r>
        <w:rPr>
          <w:sz w:val="28"/>
          <w:szCs w:val="28"/>
        </w:rPr>
        <w:fldChar w:fldCharType="separate"/>
      </w:r>
      <w:r>
        <w:fldChar w:fldCharType="begin"/>
      </w:r>
      <w:r>
        <w:instrText xml:space="preserve"> HYPERLINK \l "_Toc97033739" </w:instrText>
      </w:r>
      <w:r>
        <w:fldChar w:fldCharType="separate"/>
      </w:r>
      <w:r>
        <w:rPr>
          <w:rStyle w:val="27"/>
          <w:rFonts w:eastAsia="黑体"/>
          <w:sz w:val="28"/>
          <w:szCs w:val="28"/>
        </w:rPr>
        <w:t>一、规划背景</w:t>
      </w:r>
      <w:r>
        <w:rPr>
          <w:rFonts w:eastAsia="黑体"/>
          <w:sz w:val="28"/>
          <w:szCs w:val="28"/>
        </w:rPr>
        <w:tab/>
      </w:r>
      <w:r>
        <w:rPr>
          <w:rFonts w:eastAsia="黑体"/>
          <w:sz w:val="28"/>
          <w:szCs w:val="28"/>
        </w:rPr>
        <w:fldChar w:fldCharType="begin"/>
      </w:r>
      <w:r>
        <w:rPr>
          <w:rFonts w:eastAsia="黑体"/>
          <w:sz w:val="28"/>
          <w:szCs w:val="28"/>
        </w:rPr>
        <w:instrText xml:space="preserve"> PAGEREF _Toc97033739 \h </w:instrText>
      </w:r>
      <w:r>
        <w:rPr>
          <w:rFonts w:eastAsia="黑体"/>
          <w:sz w:val="28"/>
          <w:szCs w:val="28"/>
        </w:rPr>
        <w:fldChar w:fldCharType="separate"/>
      </w:r>
      <w:r>
        <w:rPr>
          <w:rFonts w:eastAsia="黑体"/>
          <w:sz w:val="28"/>
          <w:szCs w:val="28"/>
        </w:rPr>
        <w:t>1</w:t>
      </w:r>
      <w:r>
        <w:rPr>
          <w:rFonts w:eastAsia="黑体"/>
          <w:sz w:val="28"/>
          <w:szCs w:val="28"/>
        </w:rPr>
        <w:fldChar w:fldCharType="end"/>
      </w:r>
      <w:r>
        <w:rPr>
          <w:rFonts w:eastAsia="黑体"/>
          <w:sz w:val="28"/>
          <w:szCs w:val="28"/>
        </w:rPr>
        <w:fldChar w:fldCharType="end"/>
      </w:r>
    </w:p>
    <w:p w14:paraId="73E5DAA9">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"_Toc97033740" </w:instrText>
      </w:r>
      <w:r>
        <w:fldChar w:fldCharType="separate"/>
      </w:r>
      <w:r>
        <w:rPr>
          <w:rStyle w:val="27"/>
          <w:rFonts w:eastAsia="宋体"/>
          <w:sz w:val="28"/>
          <w:szCs w:val="28"/>
        </w:rPr>
        <w:t>（一）“十三五”裕安区农业农村发展成就</w:t>
      </w:r>
      <w:r>
        <w:rPr>
          <w:rFonts w:eastAsia="宋体"/>
          <w:sz w:val="28"/>
          <w:szCs w:val="28"/>
        </w:rPr>
        <w:tab/>
      </w:r>
      <w:r>
        <w:rPr>
          <w:rFonts w:eastAsia="宋体"/>
          <w:sz w:val="28"/>
          <w:szCs w:val="28"/>
        </w:rPr>
        <w:fldChar w:fldCharType="begin"/>
      </w:r>
      <w:r>
        <w:rPr>
          <w:rFonts w:eastAsia="宋体"/>
          <w:sz w:val="28"/>
          <w:szCs w:val="28"/>
        </w:rPr>
        <w:instrText xml:space="preserve"> PAGEREF _Toc97033740 \h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fldChar w:fldCharType="end"/>
      </w:r>
    </w:p>
    <w:p w14:paraId="4CE223F0">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"_Toc97033741" </w:instrText>
      </w:r>
      <w:r>
        <w:fldChar w:fldCharType="separate"/>
      </w:r>
      <w:r>
        <w:rPr>
          <w:rStyle w:val="27"/>
          <w:rFonts w:eastAsia="宋体"/>
          <w:sz w:val="28"/>
          <w:szCs w:val="28"/>
        </w:rPr>
        <w:t>（二）“十四五”裕安区农业农村发展环境</w:t>
      </w:r>
      <w:r>
        <w:rPr>
          <w:rFonts w:eastAsia="宋体"/>
          <w:sz w:val="28"/>
          <w:szCs w:val="28"/>
        </w:rPr>
        <w:tab/>
      </w:r>
      <w:r>
        <w:rPr>
          <w:rFonts w:eastAsia="宋体"/>
          <w:sz w:val="28"/>
          <w:szCs w:val="28"/>
        </w:rPr>
        <w:fldChar w:fldCharType="begin"/>
      </w:r>
      <w:r>
        <w:rPr>
          <w:rFonts w:eastAsia="宋体"/>
          <w:sz w:val="28"/>
          <w:szCs w:val="28"/>
        </w:rPr>
        <w:instrText xml:space="preserve"> PAGEREF _Toc97033741 \h </w:instrText>
      </w:r>
      <w:r>
        <w:rPr>
          <w:rFonts w:eastAsia="宋体"/>
          <w:sz w:val="28"/>
          <w:szCs w:val="28"/>
        </w:rPr>
        <w:fldChar w:fldCharType="separate"/>
      </w:r>
      <w:r>
        <w:rPr>
          <w:rFonts w:eastAsia="宋体"/>
          <w:sz w:val="28"/>
          <w:szCs w:val="28"/>
        </w:rPr>
        <w:t>3</w:t>
      </w:r>
      <w:r>
        <w:rPr>
          <w:rFonts w:eastAsia="宋体"/>
          <w:sz w:val="28"/>
          <w:szCs w:val="28"/>
        </w:rPr>
        <w:fldChar w:fldCharType="end"/>
      </w:r>
      <w:r>
        <w:rPr>
          <w:rFonts w:eastAsia="宋体"/>
          <w:sz w:val="28"/>
          <w:szCs w:val="28"/>
        </w:rPr>
        <w:fldChar w:fldCharType="end"/>
      </w:r>
    </w:p>
    <w:p w14:paraId="31AC355A">
      <w:pPr>
        <w:pStyle w:val="13"/>
        <w:tabs>
          <w:tab w:val="right" w:leader="dot" w:pos="8296"/>
        </w:tabs>
        <w:spacing w:line="520" w:lineRule="exact"/>
        <w:ind w:firstLine="312" w:firstLineChars="100"/>
        <w:rPr>
          <w:rStyle w:val="27"/>
          <w:rFonts w:eastAsia="黑体"/>
        </w:rPr>
      </w:pPr>
      <w:r>
        <w:fldChar w:fldCharType="begin"/>
      </w:r>
      <w:r>
        <w:instrText xml:space="preserve"> HYPERLINK \l "_Toc97033742" </w:instrText>
      </w:r>
      <w:r>
        <w:fldChar w:fldCharType="separate"/>
      </w:r>
      <w:r>
        <w:rPr>
          <w:rStyle w:val="27"/>
          <w:rFonts w:eastAsia="黑体"/>
          <w:sz w:val="28"/>
          <w:szCs w:val="28"/>
        </w:rPr>
        <w:t>二、总体要求</w:t>
      </w:r>
      <w:r>
        <w:rPr>
          <w:rStyle w:val="27"/>
          <w:rFonts w:eastAsia="黑体"/>
        </w:rPr>
        <w:tab/>
      </w:r>
      <w:r>
        <w:rPr>
          <w:rStyle w:val="27"/>
          <w:rFonts w:eastAsia="黑体"/>
        </w:rPr>
        <w:fldChar w:fldCharType="begin"/>
      </w:r>
      <w:r>
        <w:rPr>
          <w:rStyle w:val="27"/>
          <w:rFonts w:eastAsia="黑体"/>
        </w:rPr>
        <w:instrText xml:space="preserve"> PAGEREF _Toc97033742 \h </w:instrText>
      </w:r>
      <w:r>
        <w:rPr>
          <w:rStyle w:val="27"/>
          <w:rFonts w:eastAsia="黑体"/>
        </w:rPr>
        <w:fldChar w:fldCharType="separate"/>
      </w:r>
      <w:r>
        <w:rPr>
          <w:rStyle w:val="27"/>
          <w:rFonts w:eastAsia="黑体"/>
        </w:rPr>
        <w:t>5</w:t>
      </w:r>
      <w:r>
        <w:rPr>
          <w:rStyle w:val="27"/>
          <w:rFonts w:eastAsia="黑体"/>
        </w:rPr>
        <w:fldChar w:fldCharType="end"/>
      </w:r>
      <w:r>
        <w:rPr>
          <w:rStyle w:val="27"/>
          <w:rFonts w:eastAsia="黑体"/>
        </w:rPr>
        <w:fldChar w:fldCharType="end"/>
      </w:r>
    </w:p>
    <w:p w14:paraId="69817124">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"_Toc97033743" </w:instrText>
      </w:r>
      <w:r>
        <w:fldChar w:fldCharType="separate"/>
      </w:r>
      <w:r>
        <w:rPr>
          <w:rStyle w:val="27"/>
          <w:rFonts w:eastAsia="宋体"/>
          <w:sz w:val="28"/>
          <w:szCs w:val="28"/>
        </w:rPr>
        <w:t>（一）指导思想</w:t>
      </w:r>
      <w:r>
        <w:rPr>
          <w:rFonts w:eastAsia="宋体"/>
          <w:sz w:val="28"/>
          <w:szCs w:val="28"/>
        </w:rPr>
        <w:tab/>
      </w:r>
      <w:r>
        <w:rPr>
          <w:rFonts w:eastAsia="宋体"/>
          <w:sz w:val="28"/>
          <w:szCs w:val="28"/>
        </w:rPr>
        <w:fldChar w:fldCharType="begin"/>
      </w:r>
      <w:r>
        <w:rPr>
          <w:rFonts w:eastAsia="宋体"/>
          <w:sz w:val="28"/>
          <w:szCs w:val="28"/>
        </w:rPr>
        <w:instrText xml:space="preserve"> PAGEREF _Toc97033743 \h </w:instrText>
      </w:r>
      <w:r>
        <w:rPr>
          <w:rFonts w:eastAsia="宋体"/>
          <w:sz w:val="28"/>
          <w:szCs w:val="28"/>
        </w:rPr>
        <w:fldChar w:fldCharType="separate"/>
      </w:r>
      <w:r>
        <w:rPr>
          <w:rFonts w:eastAsia="宋体"/>
          <w:sz w:val="28"/>
          <w:szCs w:val="28"/>
        </w:rPr>
        <w:t>5</w:t>
      </w:r>
      <w:r>
        <w:rPr>
          <w:rFonts w:eastAsia="宋体"/>
          <w:sz w:val="28"/>
          <w:szCs w:val="28"/>
        </w:rPr>
        <w:fldChar w:fldCharType="end"/>
      </w:r>
      <w:r>
        <w:rPr>
          <w:rFonts w:eastAsia="宋体"/>
          <w:sz w:val="28"/>
          <w:szCs w:val="28"/>
        </w:rPr>
        <w:fldChar w:fldCharType="end"/>
      </w:r>
    </w:p>
    <w:p w14:paraId="25F15EF9">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"_Toc97033744" </w:instrText>
      </w:r>
      <w:r>
        <w:fldChar w:fldCharType="separate"/>
      </w:r>
      <w:r>
        <w:rPr>
          <w:rStyle w:val="27"/>
          <w:rFonts w:eastAsia="宋体"/>
          <w:sz w:val="28"/>
          <w:szCs w:val="28"/>
        </w:rPr>
        <w:t>（二）基本原则</w:t>
      </w:r>
      <w:r>
        <w:rPr>
          <w:rFonts w:eastAsia="宋体"/>
          <w:sz w:val="28"/>
          <w:szCs w:val="28"/>
        </w:rPr>
        <w:tab/>
      </w:r>
      <w:r>
        <w:rPr>
          <w:rFonts w:eastAsia="宋体"/>
          <w:sz w:val="28"/>
          <w:szCs w:val="28"/>
        </w:rPr>
        <w:fldChar w:fldCharType="begin"/>
      </w:r>
      <w:r>
        <w:rPr>
          <w:rFonts w:eastAsia="宋体"/>
          <w:sz w:val="28"/>
          <w:szCs w:val="28"/>
        </w:rPr>
        <w:instrText xml:space="preserve"> PAGEREF _Toc97033744 \h </w:instrText>
      </w:r>
      <w:r>
        <w:rPr>
          <w:rFonts w:eastAsia="宋体"/>
          <w:sz w:val="28"/>
          <w:szCs w:val="28"/>
        </w:rPr>
        <w:fldChar w:fldCharType="separate"/>
      </w:r>
      <w:r>
        <w:rPr>
          <w:rFonts w:eastAsia="宋体"/>
          <w:sz w:val="28"/>
          <w:szCs w:val="28"/>
        </w:rPr>
        <w:t>5</w:t>
      </w:r>
      <w:r>
        <w:rPr>
          <w:rFonts w:eastAsia="宋体"/>
          <w:sz w:val="28"/>
          <w:szCs w:val="28"/>
        </w:rPr>
        <w:fldChar w:fldCharType="end"/>
      </w:r>
      <w:r>
        <w:rPr>
          <w:rFonts w:eastAsia="宋体"/>
          <w:sz w:val="28"/>
          <w:szCs w:val="28"/>
        </w:rPr>
        <w:fldChar w:fldCharType="end"/>
      </w:r>
    </w:p>
    <w:p w14:paraId="7BB5CB6A">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"_Toc97033745" </w:instrText>
      </w:r>
      <w:r>
        <w:fldChar w:fldCharType="separate"/>
      </w:r>
      <w:r>
        <w:rPr>
          <w:rStyle w:val="27"/>
          <w:rFonts w:eastAsia="宋体"/>
          <w:sz w:val="28"/>
          <w:szCs w:val="28"/>
        </w:rPr>
        <w:t>（三）发展目标</w:t>
      </w:r>
      <w:r>
        <w:rPr>
          <w:rFonts w:eastAsia="宋体"/>
          <w:sz w:val="28"/>
          <w:szCs w:val="28"/>
        </w:rPr>
        <w:tab/>
      </w:r>
      <w:r>
        <w:rPr>
          <w:rFonts w:eastAsia="宋体"/>
          <w:sz w:val="28"/>
          <w:szCs w:val="28"/>
        </w:rPr>
        <w:fldChar w:fldCharType="begin"/>
      </w:r>
      <w:r>
        <w:rPr>
          <w:rFonts w:eastAsia="宋体"/>
          <w:sz w:val="28"/>
          <w:szCs w:val="28"/>
        </w:rPr>
        <w:instrText xml:space="preserve"> PAGEREF _Toc97033745 \h </w:instrText>
      </w:r>
      <w:r>
        <w:rPr>
          <w:rFonts w:eastAsia="宋体"/>
          <w:sz w:val="28"/>
          <w:szCs w:val="28"/>
        </w:rPr>
        <w:fldChar w:fldCharType="separate"/>
      </w:r>
      <w:r>
        <w:rPr>
          <w:rFonts w:eastAsia="宋体"/>
          <w:sz w:val="28"/>
          <w:szCs w:val="28"/>
        </w:rPr>
        <w:t>6</w:t>
      </w:r>
      <w:r>
        <w:rPr>
          <w:rFonts w:eastAsia="宋体"/>
          <w:sz w:val="28"/>
          <w:szCs w:val="28"/>
        </w:rPr>
        <w:fldChar w:fldCharType="end"/>
      </w:r>
      <w:r>
        <w:rPr>
          <w:rFonts w:eastAsia="宋体"/>
          <w:sz w:val="28"/>
          <w:szCs w:val="28"/>
        </w:rPr>
        <w:fldChar w:fldCharType="end"/>
      </w:r>
    </w:p>
    <w:p w14:paraId="129CFB4F">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"_Toc97033746" </w:instrText>
      </w:r>
      <w:r>
        <w:fldChar w:fldCharType="separate"/>
      </w:r>
      <w:r>
        <w:rPr>
          <w:rStyle w:val="27"/>
          <w:rFonts w:eastAsia="宋体"/>
          <w:sz w:val="28"/>
          <w:szCs w:val="28"/>
        </w:rPr>
        <w:t>（四）基本路径</w:t>
      </w:r>
      <w:r>
        <w:rPr>
          <w:rFonts w:eastAsia="宋体"/>
          <w:sz w:val="28"/>
          <w:szCs w:val="28"/>
        </w:rPr>
        <w:tab/>
      </w:r>
      <w:r>
        <w:rPr>
          <w:rFonts w:eastAsia="宋体"/>
          <w:sz w:val="28"/>
          <w:szCs w:val="28"/>
        </w:rPr>
        <w:fldChar w:fldCharType="begin"/>
      </w:r>
      <w:r>
        <w:rPr>
          <w:rFonts w:eastAsia="宋体"/>
          <w:sz w:val="28"/>
          <w:szCs w:val="28"/>
        </w:rPr>
        <w:instrText xml:space="preserve"> PAGEREF _Toc97033746 \h </w:instrText>
      </w:r>
      <w:r>
        <w:rPr>
          <w:rFonts w:eastAsia="宋体"/>
          <w:sz w:val="28"/>
          <w:szCs w:val="28"/>
        </w:rPr>
        <w:fldChar w:fldCharType="separate"/>
      </w:r>
      <w:r>
        <w:rPr>
          <w:rFonts w:eastAsia="宋体"/>
          <w:sz w:val="28"/>
          <w:szCs w:val="28"/>
        </w:rPr>
        <w:t>8</w:t>
      </w:r>
      <w:r>
        <w:rPr>
          <w:rFonts w:eastAsia="宋体"/>
          <w:sz w:val="28"/>
          <w:szCs w:val="28"/>
        </w:rPr>
        <w:fldChar w:fldCharType="end"/>
      </w:r>
      <w:r>
        <w:rPr>
          <w:rFonts w:eastAsia="宋体"/>
          <w:sz w:val="28"/>
          <w:szCs w:val="28"/>
        </w:rPr>
        <w:fldChar w:fldCharType="end"/>
      </w:r>
    </w:p>
    <w:p w14:paraId="435DC915">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"_Toc97033747" </w:instrText>
      </w:r>
      <w:r>
        <w:fldChar w:fldCharType="separate"/>
      </w:r>
      <w:r>
        <w:rPr>
          <w:rStyle w:val="27"/>
          <w:rFonts w:eastAsia="宋体"/>
          <w:sz w:val="28"/>
          <w:szCs w:val="28"/>
        </w:rPr>
        <w:t>专栏1 裕安区“十四五”农业农村现代化指标</w:t>
      </w:r>
      <w:r>
        <w:rPr>
          <w:rFonts w:eastAsia="宋体"/>
          <w:sz w:val="28"/>
          <w:szCs w:val="28"/>
        </w:rPr>
        <w:tab/>
      </w:r>
      <w:r>
        <w:rPr>
          <w:rFonts w:eastAsia="宋体"/>
          <w:sz w:val="28"/>
          <w:szCs w:val="28"/>
        </w:rPr>
        <w:fldChar w:fldCharType="begin"/>
      </w:r>
      <w:r>
        <w:rPr>
          <w:rFonts w:eastAsia="宋体"/>
          <w:sz w:val="28"/>
          <w:szCs w:val="28"/>
        </w:rPr>
        <w:instrText xml:space="preserve"> PAGEREF _Toc97033747 \h </w:instrText>
      </w:r>
      <w:r>
        <w:rPr>
          <w:rFonts w:eastAsia="宋体"/>
          <w:sz w:val="28"/>
          <w:szCs w:val="28"/>
        </w:rPr>
        <w:fldChar w:fldCharType="separate"/>
      </w:r>
      <w:r>
        <w:rPr>
          <w:rFonts w:eastAsia="宋体"/>
          <w:sz w:val="28"/>
          <w:szCs w:val="28"/>
        </w:rPr>
        <w:t>9</w:t>
      </w:r>
      <w:r>
        <w:rPr>
          <w:rFonts w:eastAsia="宋体"/>
          <w:sz w:val="28"/>
          <w:szCs w:val="28"/>
        </w:rPr>
        <w:fldChar w:fldCharType="end"/>
      </w:r>
      <w:r>
        <w:rPr>
          <w:rFonts w:eastAsia="宋体"/>
          <w:sz w:val="28"/>
          <w:szCs w:val="28"/>
        </w:rPr>
        <w:fldChar w:fldCharType="end"/>
      </w:r>
    </w:p>
    <w:p w14:paraId="003A97C0">
      <w:pPr>
        <w:pStyle w:val="13"/>
        <w:tabs>
          <w:tab w:val="right" w:leader="dot" w:pos="8296"/>
        </w:tabs>
        <w:spacing w:line="520" w:lineRule="exact"/>
        <w:ind w:firstLine="312" w:firstLineChars="100"/>
        <w:rPr>
          <w:rStyle w:val="27"/>
          <w:rFonts w:eastAsia="黑体"/>
        </w:rPr>
      </w:pPr>
      <w:r>
        <w:fldChar w:fldCharType="begin"/>
      </w:r>
      <w:r>
        <w:instrText xml:space="preserve"> HYPERLINK \l "_Toc97033748" </w:instrText>
      </w:r>
      <w:r>
        <w:fldChar w:fldCharType="separate"/>
      </w:r>
      <w:r>
        <w:rPr>
          <w:rStyle w:val="27"/>
          <w:rFonts w:eastAsia="黑体"/>
          <w:sz w:val="28"/>
          <w:szCs w:val="28"/>
        </w:rPr>
        <w:t>三、统筹发展空间，优化农业发展布局</w:t>
      </w:r>
      <w:r>
        <w:rPr>
          <w:rStyle w:val="27"/>
          <w:rFonts w:eastAsia="黑体"/>
        </w:rPr>
        <w:tab/>
      </w:r>
      <w:r>
        <w:rPr>
          <w:rStyle w:val="27"/>
          <w:rFonts w:eastAsia="黑体"/>
        </w:rPr>
        <w:fldChar w:fldCharType="begin"/>
      </w:r>
      <w:r>
        <w:rPr>
          <w:rStyle w:val="27"/>
          <w:rFonts w:eastAsia="黑体"/>
        </w:rPr>
        <w:instrText xml:space="preserve"> PAGEREF _Toc97033748 \h </w:instrText>
      </w:r>
      <w:r>
        <w:rPr>
          <w:rStyle w:val="27"/>
          <w:rFonts w:eastAsia="黑体"/>
        </w:rPr>
        <w:fldChar w:fldCharType="separate"/>
      </w:r>
      <w:r>
        <w:rPr>
          <w:rStyle w:val="27"/>
          <w:rFonts w:eastAsia="黑体"/>
        </w:rPr>
        <w:t>10</w:t>
      </w:r>
      <w:r>
        <w:rPr>
          <w:rStyle w:val="27"/>
          <w:rFonts w:eastAsia="黑体"/>
        </w:rPr>
        <w:fldChar w:fldCharType="end"/>
      </w:r>
      <w:r>
        <w:rPr>
          <w:rStyle w:val="27"/>
          <w:rFonts w:eastAsia="黑体"/>
        </w:rPr>
        <w:fldChar w:fldCharType="end"/>
      </w:r>
    </w:p>
    <w:p w14:paraId="5A69B042">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"_Toc97033749" </w:instrText>
      </w:r>
      <w:r>
        <w:fldChar w:fldCharType="separate"/>
      </w:r>
      <w:r>
        <w:rPr>
          <w:rStyle w:val="27"/>
          <w:rFonts w:eastAsia="宋体"/>
          <w:sz w:val="28"/>
          <w:szCs w:val="28"/>
        </w:rPr>
        <w:t>（一）一核</w:t>
      </w:r>
      <w:r>
        <w:rPr>
          <w:rFonts w:eastAsia="宋体"/>
          <w:sz w:val="28"/>
          <w:szCs w:val="28"/>
        </w:rPr>
        <w:tab/>
      </w:r>
      <w:r>
        <w:rPr>
          <w:rFonts w:eastAsia="宋体"/>
          <w:sz w:val="28"/>
          <w:szCs w:val="28"/>
        </w:rPr>
        <w:fldChar w:fldCharType="begin"/>
      </w:r>
      <w:r>
        <w:rPr>
          <w:rFonts w:eastAsia="宋体"/>
          <w:sz w:val="28"/>
          <w:szCs w:val="28"/>
        </w:rPr>
        <w:instrText xml:space="preserve"> PAGEREF _Toc97033749 \h </w:instrText>
      </w:r>
      <w:r>
        <w:rPr>
          <w:rFonts w:eastAsia="宋体"/>
          <w:sz w:val="28"/>
          <w:szCs w:val="28"/>
        </w:rPr>
        <w:fldChar w:fldCharType="separate"/>
      </w:r>
      <w:r>
        <w:rPr>
          <w:rFonts w:eastAsia="宋体"/>
          <w:sz w:val="28"/>
          <w:szCs w:val="28"/>
        </w:rPr>
        <w:t>10</w:t>
      </w:r>
      <w:r>
        <w:rPr>
          <w:rFonts w:eastAsia="宋体"/>
          <w:sz w:val="28"/>
          <w:szCs w:val="28"/>
        </w:rPr>
        <w:fldChar w:fldCharType="end"/>
      </w:r>
      <w:r>
        <w:rPr>
          <w:rFonts w:eastAsia="宋体"/>
          <w:sz w:val="28"/>
          <w:szCs w:val="28"/>
        </w:rPr>
        <w:fldChar w:fldCharType="end"/>
      </w:r>
    </w:p>
    <w:p w14:paraId="60A15C63">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"_Toc97033750" </w:instrText>
      </w:r>
      <w:r>
        <w:fldChar w:fldCharType="separate"/>
      </w:r>
      <w:r>
        <w:rPr>
          <w:rStyle w:val="27"/>
          <w:rFonts w:eastAsia="宋体"/>
          <w:sz w:val="28"/>
          <w:szCs w:val="28"/>
        </w:rPr>
        <w:t>（二）一轴</w:t>
      </w:r>
      <w:r>
        <w:rPr>
          <w:rFonts w:eastAsia="宋体"/>
          <w:sz w:val="28"/>
          <w:szCs w:val="28"/>
        </w:rPr>
        <w:tab/>
      </w:r>
      <w:r>
        <w:rPr>
          <w:rFonts w:eastAsia="宋体"/>
          <w:sz w:val="28"/>
          <w:szCs w:val="28"/>
        </w:rPr>
        <w:fldChar w:fldCharType="begin"/>
      </w:r>
      <w:r>
        <w:rPr>
          <w:rFonts w:eastAsia="宋体"/>
          <w:sz w:val="28"/>
          <w:szCs w:val="28"/>
        </w:rPr>
        <w:instrText xml:space="preserve"> PAGEREF _Toc97033750 \h </w:instrText>
      </w:r>
      <w:r>
        <w:rPr>
          <w:rFonts w:eastAsia="宋体"/>
          <w:sz w:val="28"/>
          <w:szCs w:val="28"/>
        </w:rPr>
        <w:fldChar w:fldCharType="separate"/>
      </w:r>
      <w:r>
        <w:rPr>
          <w:rFonts w:eastAsia="宋体"/>
          <w:sz w:val="28"/>
          <w:szCs w:val="28"/>
        </w:rPr>
        <w:t>10</w:t>
      </w:r>
      <w:r>
        <w:rPr>
          <w:rFonts w:eastAsia="宋体"/>
          <w:sz w:val="28"/>
          <w:szCs w:val="28"/>
        </w:rPr>
        <w:fldChar w:fldCharType="end"/>
      </w:r>
      <w:r>
        <w:rPr>
          <w:rFonts w:eastAsia="宋体"/>
          <w:sz w:val="28"/>
          <w:szCs w:val="28"/>
        </w:rPr>
        <w:fldChar w:fldCharType="end"/>
      </w:r>
    </w:p>
    <w:p w14:paraId="0F7C0827">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"_Toc97033751" </w:instrText>
      </w:r>
      <w:r>
        <w:fldChar w:fldCharType="separate"/>
      </w:r>
      <w:r>
        <w:rPr>
          <w:rStyle w:val="27"/>
          <w:rFonts w:eastAsia="宋体"/>
          <w:sz w:val="28"/>
          <w:szCs w:val="28"/>
        </w:rPr>
        <w:t>（三）三区</w:t>
      </w:r>
      <w:r>
        <w:rPr>
          <w:rFonts w:eastAsia="宋体"/>
          <w:sz w:val="28"/>
          <w:szCs w:val="28"/>
        </w:rPr>
        <w:tab/>
      </w:r>
      <w:r>
        <w:rPr>
          <w:rFonts w:eastAsia="宋体"/>
          <w:sz w:val="28"/>
          <w:szCs w:val="28"/>
        </w:rPr>
        <w:fldChar w:fldCharType="begin"/>
      </w:r>
      <w:r>
        <w:rPr>
          <w:rFonts w:eastAsia="宋体"/>
          <w:sz w:val="28"/>
          <w:szCs w:val="28"/>
        </w:rPr>
        <w:instrText xml:space="preserve"> PAGEREF _Toc97033751 \h </w:instrText>
      </w:r>
      <w:r>
        <w:rPr>
          <w:rFonts w:eastAsia="宋体"/>
          <w:sz w:val="28"/>
          <w:szCs w:val="28"/>
        </w:rPr>
        <w:fldChar w:fldCharType="separate"/>
      </w:r>
      <w:r>
        <w:rPr>
          <w:rFonts w:eastAsia="宋体"/>
          <w:sz w:val="28"/>
          <w:szCs w:val="28"/>
        </w:rPr>
        <w:t>10</w:t>
      </w:r>
      <w:r>
        <w:rPr>
          <w:rFonts w:eastAsia="宋体"/>
          <w:sz w:val="28"/>
          <w:szCs w:val="28"/>
        </w:rPr>
        <w:fldChar w:fldCharType="end"/>
      </w:r>
      <w:r>
        <w:rPr>
          <w:rFonts w:eastAsia="宋体"/>
          <w:sz w:val="28"/>
          <w:szCs w:val="28"/>
        </w:rPr>
        <w:fldChar w:fldCharType="end"/>
      </w:r>
    </w:p>
    <w:p w14:paraId="0DDB7407">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"_Toc97033752" </w:instrText>
      </w:r>
      <w:r>
        <w:fldChar w:fldCharType="separate"/>
      </w:r>
      <w:r>
        <w:rPr>
          <w:rStyle w:val="27"/>
          <w:rFonts w:eastAsia="宋体"/>
          <w:sz w:val="28"/>
          <w:szCs w:val="28"/>
        </w:rPr>
        <w:t>（四）两带</w:t>
      </w:r>
      <w:r>
        <w:rPr>
          <w:rFonts w:eastAsia="宋体"/>
          <w:sz w:val="28"/>
          <w:szCs w:val="28"/>
        </w:rPr>
        <w:tab/>
      </w:r>
      <w:r>
        <w:rPr>
          <w:rFonts w:eastAsia="宋体"/>
          <w:sz w:val="28"/>
          <w:szCs w:val="28"/>
        </w:rPr>
        <w:fldChar w:fldCharType="begin"/>
      </w:r>
      <w:r>
        <w:rPr>
          <w:rFonts w:eastAsia="宋体"/>
          <w:sz w:val="28"/>
          <w:szCs w:val="28"/>
        </w:rPr>
        <w:instrText xml:space="preserve"> PAGEREF _Toc97033752 \h </w:instrText>
      </w:r>
      <w:r>
        <w:rPr>
          <w:rFonts w:eastAsia="宋体"/>
          <w:sz w:val="28"/>
          <w:szCs w:val="28"/>
        </w:rPr>
        <w:fldChar w:fldCharType="separate"/>
      </w:r>
      <w:r>
        <w:rPr>
          <w:rFonts w:eastAsia="宋体"/>
          <w:sz w:val="28"/>
          <w:szCs w:val="28"/>
        </w:rPr>
        <w:t>11</w:t>
      </w:r>
      <w:r>
        <w:rPr>
          <w:rFonts w:eastAsia="宋体"/>
          <w:sz w:val="28"/>
          <w:szCs w:val="28"/>
        </w:rPr>
        <w:fldChar w:fldCharType="end"/>
      </w:r>
      <w:r>
        <w:rPr>
          <w:rFonts w:eastAsia="宋体"/>
          <w:sz w:val="28"/>
          <w:szCs w:val="28"/>
        </w:rPr>
        <w:fldChar w:fldCharType="end"/>
      </w:r>
    </w:p>
    <w:p w14:paraId="3C88659C">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"_Toc97033753" </w:instrText>
      </w:r>
      <w:r>
        <w:fldChar w:fldCharType="separate"/>
      </w:r>
      <w:r>
        <w:rPr>
          <w:rStyle w:val="27"/>
          <w:rFonts w:eastAsia="宋体"/>
          <w:sz w:val="28"/>
          <w:szCs w:val="28"/>
        </w:rPr>
        <w:t>（五）多园</w:t>
      </w:r>
      <w:r>
        <w:rPr>
          <w:rFonts w:eastAsia="宋体"/>
          <w:sz w:val="28"/>
          <w:szCs w:val="28"/>
        </w:rPr>
        <w:tab/>
      </w:r>
      <w:r>
        <w:rPr>
          <w:rFonts w:eastAsia="宋体"/>
          <w:sz w:val="28"/>
          <w:szCs w:val="28"/>
        </w:rPr>
        <w:fldChar w:fldCharType="begin"/>
      </w:r>
      <w:r>
        <w:rPr>
          <w:rFonts w:eastAsia="宋体"/>
          <w:sz w:val="28"/>
          <w:szCs w:val="28"/>
        </w:rPr>
        <w:instrText xml:space="preserve"> PAGEREF _Toc97033753 \h </w:instrText>
      </w:r>
      <w:r>
        <w:rPr>
          <w:rFonts w:eastAsia="宋体"/>
          <w:sz w:val="28"/>
          <w:szCs w:val="28"/>
        </w:rPr>
        <w:fldChar w:fldCharType="separate"/>
      </w:r>
      <w:r>
        <w:rPr>
          <w:rFonts w:eastAsia="宋体"/>
          <w:sz w:val="28"/>
          <w:szCs w:val="28"/>
        </w:rPr>
        <w:t>12</w:t>
      </w:r>
      <w:r>
        <w:rPr>
          <w:rFonts w:eastAsia="宋体"/>
          <w:sz w:val="28"/>
          <w:szCs w:val="28"/>
        </w:rPr>
        <w:fldChar w:fldCharType="end"/>
      </w:r>
      <w:r>
        <w:rPr>
          <w:rFonts w:eastAsia="宋体"/>
          <w:sz w:val="28"/>
          <w:szCs w:val="28"/>
        </w:rPr>
        <w:fldChar w:fldCharType="end"/>
      </w:r>
    </w:p>
    <w:p w14:paraId="7614A24F">
      <w:pPr>
        <w:pStyle w:val="13"/>
        <w:tabs>
          <w:tab w:val="right" w:leader="dot" w:pos="8296"/>
        </w:tabs>
        <w:spacing w:line="520" w:lineRule="exact"/>
        <w:ind w:firstLine="312" w:firstLineChars="100"/>
        <w:rPr>
          <w:rStyle w:val="27"/>
          <w:rFonts w:eastAsia="黑体"/>
        </w:rPr>
      </w:pPr>
      <w:r>
        <w:fldChar w:fldCharType="begin"/>
      </w:r>
      <w:r>
        <w:instrText xml:space="preserve"> HYPERLINK \l "_Toc97033754" </w:instrText>
      </w:r>
      <w:r>
        <w:fldChar w:fldCharType="separate"/>
      </w:r>
      <w:r>
        <w:rPr>
          <w:rStyle w:val="27"/>
          <w:rFonts w:eastAsia="黑体"/>
          <w:sz w:val="28"/>
          <w:szCs w:val="28"/>
        </w:rPr>
        <w:t>四、夯实发展基础，提升农业供给保障水平</w:t>
      </w:r>
      <w:r>
        <w:rPr>
          <w:rStyle w:val="27"/>
          <w:rFonts w:eastAsia="黑体"/>
        </w:rPr>
        <w:tab/>
      </w:r>
      <w:r>
        <w:rPr>
          <w:rStyle w:val="27"/>
          <w:rFonts w:eastAsia="黑体"/>
        </w:rPr>
        <w:fldChar w:fldCharType="begin"/>
      </w:r>
      <w:r>
        <w:rPr>
          <w:rStyle w:val="27"/>
          <w:rFonts w:eastAsia="黑体"/>
        </w:rPr>
        <w:instrText xml:space="preserve"> PAGEREF _Toc97033754 \h </w:instrText>
      </w:r>
      <w:r>
        <w:rPr>
          <w:rStyle w:val="27"/>
          <w:rFonts w:eastAsia="黑体"/>
        </w:rPr>
        <w:fldChar w:fldCharType="separate"/>
      </w:r>
      <w:r>
        <w:rPr>
          <w:rStyle w:val="27"/>
          <w:rFonts w:eastAsia="黑体"/>
        </w:rPr>
        <w:t>14</w:t>
      </w:r>
      <w:r>
        <w:rPr>
          <w:rStyle w:val="27"/>
          <w:rFonts w:eastAsia="黑体"/>
        </w:rPr>
        <w:fldChar w:fldCharType="end"/>
      </w:r>
      <w:r>
        <w:rPr>
          <w:rStyle w:val="27"/>
          <w:rFonts w:eastAsia="黑体"/>
        </w:rPr>
        <w:fldChar w:fldCharType="end"/>
      </w:r>
    </w:p>
    <w:p w14:paraId="7CC07916">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"_Toc97033755" </w:instrText>
      </w:r>
      <w:r>
        <w:fldChar w:fldCharType="separate"/>
      </w:r>
      <w:r>
        <w:rPr>
          <w:rStyle w:val="27"/>
          <w:rFonts w:eastAsia="宋体"/>
          <w:sz w:val="28"/>
          <w:szCs w:val="28"/>
        </w:rPr>
        <w:t>（一）推进种养业提质增效</w:t>
      </w:r>
      <w:r>
        <w:rPr>
          <w:rFonts w:eastAsia="宋体"/>
          <w:sz w:val="28"/>
          <w:szCs w:val="28"/>
        </w:rPr>
        <w:tab/>
      </w:r>
      <w:r>
        <w:rPr>
          <w:rFonts w:eastAsia="宋体"/>
          <w:sz w:val="28"/>
          <w:szCs w:val="28"/>
        </w:rPr>
        <w:fldChar w:fldCharType="begin"/>
      </w:r>
      <w:r>
        <w:rPr>
          <w:rFonts w:eastAsia="宋体"/>
          <w:sz w:val="28"/>
          <w:szCs w:val="28"/>
        </w:rPr>
        <w:instrText xml:space="preserve"> PAGEREF _Toc97033755 \h </w:instrText>
      </w:r>
      <w:r>
        <w:rPr>
          <w:rFonts w:eastAsia="宋体"/>
          <w:sz w:val="28"/>
          <w:szCs w:val="28"/>
        </w:rPr>
        <w:fldChar w:fldCharType="separate"/>
      </w:r>
      <w:r>
        <w:rPr>
          <w:rFonts w:eastAsia="宋体"/>
          <w:sz w:val="28"/>
          <w:szCs w:val="28"/>
        </w:rPr>
        <w:t>14</w:t>
      </w:r>
      <w:r>
        <w:rPr>
          <w:rFonts w:eastAsia="宋体"/>
          <w:sz w:val="28"/>
          <w:szCs w:val="28"/>
        </w:rPr>
        <w:fldChar w:fldCharType="end"/>
      </w:r>
      <w:r>
        <w:rPr>
          <w:rFonts w:eastAsia="宋体"/>
          <w:sz w:val="28"/>
          <w:szCs w:val="28"/>
        </w:rPr>
        <w:fldChar w:fldCharType="end"/>
      </w:r>
    </w:p>
    <w:p w14:paraId="3F60CC10">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"_Toc97033756" </w:instrText>
      </w:r>
      <w:r>
        <w:fldChar w:fldCharType="separate"/>
      </w:r>
      <w:r>
        <w:rPr>
          <w:rStyle w:val="27"/>
          <w:rFonts w:eastAsia="宋体"/>
          <w:sz w:val="28"/>
          <w:szCs w:val="28"/>
        </w:rPr>
        <w:t>（二）加强耕地保护与质量建设</w:t>
      </w:r>
      <w:r>
        <w:rPr>
          <w:rFonts w:eastAsia="宋体"/>
          <w:sz w:val="28"/>
          <w:szCs w:val="28"/>
        </w:rPr>
        <w:tab/>
      </w:r>
      <w:r>
        <w:rPr>
          <w:rFonts w:eastAsia="宋体"/>
          <w:sz w:val="28"/>
          <w:szCs w:val="28"/>
        </w:rPr>
        <w:fldChar w:fldCharType="begin"/>
      </w:r>
      <w:r>
        <w:rPr>
          <w:rFonts w:eastAsia="宋体"/>
          <w:sz w:val="28"/>
          <w:szCs w:val="28"/>
        </w:rPr>
        <w:instrText xml:space="preserve"> PAGEREF _Toc97033756 \h </w:instrText>
      </w:r>
      <w:r>
        <w:rPr>
          <w:rFonts w:eastAsia="宋体"/>
          <w:sz w:val="28"/>
          <w:szCs w:val="28"/>
        </w:rPr>
        <w:fldChar w:fldCharType="separate"/>
      </w:r>
      <w:r>
        <w:rPr>
          <w:rFonts w:eastAsia="宋体"/>
          <w:sz w:val="28"/>
          <w:szCs w:val="28"/>
        </w:rPr>
        <w:t>15</w:t>
      </w:r>
      <w:r>
        <w:rPr>
          <w:rFonts w:eastAsia="宋体"/>
          <w:sz w:val="28"/>
          <w:szCs w:val="28"/>
        </w:rPr>
        <w:fldChar w:fldCharType="end"/>
      </w:r>
      <w:r>
        <w:rPr>
          <w:rFonts w:eastAsia="宋体"/>
          <w:sz w:val="28"/>
          <w:szCs w:val="28"/>
        </w:rPr>
        <w:fldChar w:fldCharType="end"/>
      </w:r>
    </w:p>
    <w:p w14:paraId="4CA99B28">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"_Toc97033757" </w:instrText>
      </w:r>
      <w:r>
        <w:fldChar w:fldCharType="separate"/>
      </w:r>
      <w:r>
        <w:rPr>
          <w:rStyle w:val="27"/>
          <w:rFonts w:eastAsia="宋体"/>
          <w:sz w:val="28"/>
          <w:szCs w:val="28"/>
        </w:rPr>
        <w:t>（三）推进农业标准化</w:t>
      </w:r>
      <w:bookmarkStart w:id="0" w:name="_Hlt97035024"/>
      <w:bookmarkStart w:id="1" w:name="_Hlt97035023"/>
      <w:r>
        <w:rPr>
          <w:rStyle w:val="27"/>
          <w:rFonts w:eastAsia="宋体"/>
          <w:sz w:val="28"/>
          <w:szCs w:val="28"/>
        </w:rPr>
        <w:t>和</w:t>
      </w:r>
      <w:bookmarkEnd w:id="0"/>
      <w:bookmarkEnd w:id="1"/>
      <w:r>
        <w:rPr>
          <w:rStyle w:val="27"/>
          <w:rFonts w:eastAsia="宋体"/>
          <w:sz w:val="28"/>
          <w:szCs w:val="28"/>
        </w:rPr>
        <w:t>绿色发展</w:t>
      </w:r>
      <w:r>
        <w:rPr>
          <w:rFonts w:eastAsia="宋体"/>
          <w:sz w:val="28"/>
          <w:szCs w:val="28"/>
        </w:rPr>
        <w:tab/>
      </w:r>
      <w:r>
        <w:rPr>
          <w:rFonts w:eastAsia="宋体"/>
          <w:sz w:val="28"/>
          <w:szCs w:val="28"/>
        </w:rPr>
        <w:fldChar w:fldCharType="begin"/>
      </w:r>
      <w:r>
        <w:rPr>
          <w:rFonts w:eastAsia="宋体"/>
          <w:sz w:val="28"/>
          <w:szCs w:val="28"/>
        </w:rPr>
        <w:instrText xml:space="preserve"> PAGEREF _Toc97033757 \h </w:instrText>
      </w:r>
      <w:r>
        <w:rPr>
          <w:rFonts w:eastAsia="宋体"/>
          <w:sz w:val="28"/>
          <w:szCs w:val="28"/>
        </w:rPr>
        <w:fldChar w:fldCharType="separate"/>
      </w:r>
      <w:r>
        <w:rPr>
          <w:rFonts w:eastAsia="宋体"/>
          <w:sz w:val="28"/>
          <w:szCs w:val="28"/>
        </w:rPr>
        <w:t>16</w:t>
      </w:r>
      <w:r>
        <w:rPr>
          <w:rFonts w:eastAsia="宋体"/>
          <w:sz w:val="28"/>
          <w:szCs w:val="28"/>
        </w:rPr>
        <w:fldChar w:fldCharType="end"/>
      </w:r>
      <w:r>
        <w:rPr>
          <w:rFonts w:eastAsia="宋体"/>
          <w:sz w:val="28"/>
          <w:szCs w:val="28"/>
        </w:rPr>
        <w:fldChar w:fldCharType="end"/>
      </w:r>
    </w:p>
    <w:p w14:paraId="5B2CB048">
      <w:pPr>
        <w:pStyle w:val="14"/>
        <w:tabs>
          <w:tab w:val="right" w:leader="dot" w:pos="8296"/>
        </w:tabs>
        <w:spacing w:line="520" w:lineRule="exact"/>
        <w:ind w:left="0" w:leftChars="0" w:firstLine="780" w:firstLineChars="250"/>
        <w:rPr>
          <w:rFonts w:eastAsia="宋体"/>
          <w:sz w:val="28"/>
          <w:szCs w:val="28"/>
        </w:rPr>
      </w:pPr>
      <w:r>
        <w:fldChar w:fldCharType="begin"/>
      </w:r>
      <w:r>
        <w:instrText xml:space="preserve"> HYPERLINK \l "_Toc97033758" </w:instrText>
      </w:r>
      <w:r>
        <w:fldChar w:fldCharType="separate"/>
      </w:r>
      <w:r>
        <w:rPr>
          <w:rStyle w:val="27"/>
          <w:rFonts w:eastAsia="宋体"/>
          <w:sz w:val="28"/>
          <w:szCs w:val="28"/>
        </w:rPr>
        <w:t>（四）提高安全生产能力</w:t>
      </w:r>
      <w:r>
        <w:rPr>
          <w:rFonts w:eastAsia="宋体"/>
          <w:sz w:val="28"/>
          <w:szCs w:val="28"/>
        </w:rPr>
        <w:tab/>
      </w:r>
      <w:r>
        <w:rPr>
          <w:rFonts w:eastAsia="宋体"/>
          <w:sz w:val="28"/>
          <w:szCs w:val="28"/>
        </w:rPr>
        <w:fldChar w:fldCharType="begin"/>
      </w:r>
      <w:r>
        <w:rPr>
          <w:rFonts w:eastAsia="宋体"/>
          <w:sz w:val="28"/>
          <w:szCs w:val="28"/>
        </w:rPr>
        <w:instrText xml:space="preserve"> PAGEREF _Toc97033758 \h </w:instrText>
      </w:r>
      <w:r>
        <w:rPr>
          <w:rFonts w:eastAsia="宋体"/>
          <w:sz w:val="28"/>
          <w:szCs w:val="28"/>
        </w:rPr>
        <w:fldChar w:fldCharType="separate"/>
      </w:r>
      <w:r>
        <w:rPr>
          <w:rFonts w:eastAsia="宋体"/>
          <w:sz w:val="28"/>
          <w:szCs w:val="28"/>
        </w:rPr>
        <w:t>17</w:t>
      </w:r>
      <w:r>
        <w:rPr>
          <w:rFonts w:eastAsia="宋体"/>
          <w:sz w:val="28"/>
          <w:szCs w:val="28"/>
        </w:rPr>
        <w:fldChar w:fldCharType="end"/>
      </w:r>
      <w:r>
        <w:rPr>
          <w:rFonts w:eastAsia="宋体"/>
          <w:sz w:val="28"/>
          <w:szCs w:val="28"/>
        </w:rPr>
        <w:fldChar w:fldCharType="end"/>
      </w:r>
    </w:p>
    <w:p w14:paraId="2EF992E6">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"_Toc97033759" </w:instrText>
      </w:r>
      <w:r>
        <w:fldChar w:fldCharType="separate"/>
      </w:r>
      <w:r>
        <w:rPr>
          <w:rStyle w:val="27"/>
          <w:rFonts w:eastAsia="宋体"/>
          <w:sz w:val="28"/>
          <w:szCs w:val="28"/>
        </w:rPr>
        <w:t>专栏2 粮食等重要农产品安全保障行动</w:t>
      </w:r>
      <w:r>
        <w:rPr>
          <w:rFonts w:eastAsia="宋体"/>
          <w:sz w:val="28"/>
          <w:szCs w:val="28"/>
        </w:rPr>
        <w:tab/>
      </w:r>
      <w:r>
        <w:rPr>
          <w:rFonts w:eastAsia="宋体"/>
          <w:sz w:val="28"/>
          <w:szCs w:val="28"/>
        </w:rPr>
        <w:fldChar w:fldCharType="begin"/>
      </w:r>
      <w:r>
        <w:rPr>
          <w:rFonts w:eastAsia="宋体"/>
          <w:sz w:val="28"/>
          <w:szCs w:val="28"/>
        </w:rPr>
        <w:instrText xml:space="preserve"> PAGEREF _Toc97033759 \h </w:instrText>
      </w:r>
      <w:r>
        <w:rPr>
          <w:rFonts w:eastAsia="宋体"/>
          <w:sz w:val="28"/>
          <w:szCs w:val="28"/>
        </w:rPr>
        <w:fldChar w:fldCharType="separate"/>
      </w:r>
      <w:r>
        <w:rPr>
          <w:rFonts w:eastAsia="宋体"/>
          <w:sz w:val="28"/>
          <w:szCs w:val="28"/>
        </w:rPr>
        <w:t>19</w:t>
      </w:r>
      <w:r>
        <w:rPr>
          <w:rFonts w:eastAsia="宋体"/>
          <w:sz w:val="28"/>
          <w:szCs w:val="28"/>
        </w:rPr>
        <w:fldChar w:fldCharType="end"/>
      </w:r>
      <w:r>
        <w:rPr>
          <w:rFonts w:eastAsia="宋体"/>
          <w:sz w:val="28"/>
          <w:szCs w:val="28"/>
        </w:rPr>
        <w:fldChar w:fldCharType="end"/>
      </w:r>
    </w:p>
    <w:p w14:paraId="19872075">
      <w:pPr>
        <w:pStyle w:val="13"/>
        <w:tabs>
          <w:tab w:val="right" w:leader="dot" w:pos="8296"/>
        </w:tabs>
        <w:spacing w:line="520" w:lineRule="exact"/>
        <w:ind w:firstLine="624"/>
        <w:rPr>
          <w:rStyle w:val="27"/>
          <w:rFonts w:eastAsia="黑体"/>
        </w:rPr>
      </w:pPr>
      <w:r>
        <w:fldChar w:fldCharType="begin"/>
      </w:r>
      <w:r>
        <w:instrText xml:space="preserve"> HYPERLINK \l "_Toc97033760" </w:instrText>
      </w:r>
      <w:r>
        <w:fldChar w:fldCharType="separate"/>
      </w:r>
      <w:r>
        <w:rPr>
          <w:rStyle w:val="27"/>
          <w:rFonts w:eastAsia="黑体"/>
          <w:sz w:val="28"/>
          <w:szCs w:val="28"/>
        </w:rPr>
        <w:t>五、突出创新驱动，推进科技强农和机械强农</w:t>
      </w:r>
      <w:r>
        <w:rPr>
          <w:rStyle w:val="27"/>
          <w:rFonts w:eastAsia="黑体"/>
        </w:rPr>
        <w:tab/>
      </w:r>
      <w:r>
        <w:rPr>
          <w:rStyle w:val="27"/>
          <w:rFonts w:eastAsia="黑体"/>
        </w:rPr>
        <w:fldChar w:fldCharType="begin"/>
      </w:r>
      <w:r>
        <w:rPr>
          <w:rStyle w:val="27"/>
          <w:rFonts w:eastAsia="黑体"/>
        </w:rPr>
        <w:instrText xml:space="preserve"> PAGEREF _Toc97033760 \h </w:instrText>
      </w:r>
      <w:r>
        <w:rPr>
          <w:rStyle w:val="27"/>
          <w:rFonts w:eastAsia="黑体"/>
        </w:rPr>
        <w:fldChar w:fldCharType="separate"/>
      </w:r>
      <w:r>
        <w:rPr>
          <w:rStyle w:val="27"/>
          <w:rFonts w:eastAsia="黑体"/>
        </w:rPr>
        <w:t>21</w:t>
      </w:r>
      <w:r>
        <w:rPr>
          <w:rStyle w:val="27"/>
          <w:rFonts w:eastAsia="黑体"/>
        </w:rPr>
        <w:fldChar w:fldCharType="end"/>
      </w:r>
      <w:r>
        <w:rPr>
          <w:rStyle w:val="27"/>
          <w:rFonts w:eastAsia="黑体"/>
        </w:rPr>
        <w:fldChar w:fldCharType="end"/>
      </w:r>
    </w:p>
    <w:p w14:paraId="55FD889B">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"_Toc97033761" </w:instrText>
      </w:r>
      <w:r>
        <w:fldChar w:fldCharType="separate"/>
      </w:r>
      <w:r>
        <w:rPr>
          <w:rStyle w:val="27"/>
          <w:rFonts w:eastAsia="宋体"/>
          <w:sz w:val="28"/>
          <w:szCs w:val="28"/>
        </w:rPr>
        <w:t>（一）推动现代种业发展</w:t>
      </w:r>
      <w:r>
        <w:rPr>
          <w:rFonts w:eastAsia="宋体"/>
          <w:sz w:val="28"/>
          <w:szCs w:val="28"/>
        </w:rPr>
        <w:tab/>
      </w:r>
      <w:r>
        <w:rPr>
          <w:rFonts w:eastAsia="宋体"/>
          <w:sz w:val="28"/>
          <w:szCs w:val="28"/>
        </w:rPr>
        <w:fldChar w:fldCharType="begin"/>
      </w:r>
      <w:r>
        <w:rPr>
          <w:rFonts w:eastAsia="宋体"/>
          <w:sz w:val="28"/>
          <w:szCs w:val="28"/>
        </w:rPr>
        <w:instrText xml:space="preserve"> PAGEREF _Toc97033761 \h </w:instrText>
      </w:r>
      <w:r>
        <w:rPr>
          <w:rFonts w:eastAsia="宋体"/>
          <w:sz w:val="28"/>
          <w:szCs w:val="28"/>
        </w:rPr>
        <w:fldChar w:fldCharType="separate"/>
      </w:r>
      <w:r>
        <w:rPr>
          <w:rFonts w:eastAsia="宋体"/>
          <w:sz w:val="28"/>
          <w:szCs w:val="28"/>
        </w:rPr>
        <w:t>21</w:t>
      </w:r>
      <w:r>
        <w:rPr>
          <w:rFonts w:eastAsia="宋体"/>
          <w:sz w:val="28"/>
          <w:szCs w:val="28"/>
        </w:rPr>
        <w:fldChar w:fldCharType="end"/>
      </w:r>
      <w:r>
        <w:rPr>
          <w:rFonts w:eastAsia="宋体"/>
          <w:sz w:val="28"/>
          <w:szCs w:val="28"/>
        </w:rPr>
        <w:fldChar w:fldCharType="end"/>
      </w:r>
    </w:p>
    <w:p w14:paraId="2C8F2F98">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"_Toc97033762" </w:instrText>
      </w:r>
      <w:r>
        <w:fldChar w:fldCharType="separate"/>
      </w:r>
      <w:r>
        <w:rPr>
          <w:rStyle w:val="27"/>
          <w:rFonts w:eastAsia="宋体"/>
          <w:sz w:val="28"/>
          <w:szCs w:val="28"/>
        </w:rPr>
        <w:t>（二）大力推进机械强农</w:t>
      </w:r>
      <w:r>
        <w:rPr>
          <w:rFonts w:eastAsia="宋体"/>
          <w:sz w:val="28"/>
          <w:szCs w:val="28"/>
        </w:rPr>
        <w:tab/>
      </w:r>
      <w:r>
        <w:rPr>
          <w:rFonts w:eastAsia="宋体"/>
          <w:sz w:val="28"/>
          <w:szCs w:val="28"/>
        </w:rPr>
        <w:fldChar w:fldCharType="begin"/>
      </w:r>
      <w:r>
        <w:rPr>
          <w:rFonts w:eastAsia="宋体"/>
          <w:sz w:val="28"/>
          <w:szCs w:val="28"/>
        </w:rPr>
        <w:instrText xml:space="preserve"> PAGEREF _Toc97033762 \h </w:instrText>
      </w:r>
      <w:r>
        <w:rPr>
          <w:rFonts w:eastAsia="宋体"/>
          <w:sz w:val="28"/>
          <w:szCs w:val="28"/>
        </w:rPr>
        <w:fldChar w:fldCharType="separate"/>
      </w:r>
      <w:r>
        <w:rPr>
          <w:rFonts w:eastAsia="宋体"/>
          <w:sz w:val="28"/>
          <w:szCs w:val="28"/>
        </w:rPr>
        <w:t>22</w:t>
      </w:r>
      <w:r>
        <w:rPr>
          <w:rFonts w:eastAsia="宋体"/>
          <w:sz w:val="28"/>
          <w:szCs w:val="28"/>
        </w:rPr>
        <w:fldChar w:fldCharType="end"/>
      </w:r>
      <w:r>
        <w:rPr>
          <w:rFonts w:eastAsia="宋体"/>
          <w:sz w:val="28"/>
          <w:szCs w:val="28"/>
        </w:rPr>
        <w:fldChar w:fldCharType="end"/>
      </w:r>
    </w:p>
    <w:p w14:paraId="347A05C6">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"_Toc97033763" </w:instrText>
      </w:r>
      <w:r>
        <w:fldChar w:fldCharType="separate"/>
      </w:r>
      <w:r>
        <w:rPr>
          <w:rStyle w:val="27"/>
          <w:rFonts w:eastAsia="宋体"/>
          <w:sz w:val="28"/>
          <w:szCs w:val="28"/>
        </w:rPr>
        <w:t>（三）推进数字农业建设</w:t>
      </w:r>
      <w:r>
        <w:rPr>
          <w:rFonts w:eastAsia="宋体"/>
          <w:sz w:val="28"/>
          <w:szCs w:val="28"/>
        </w:rPr>
        <w:tab/>
      </w:r>
      <w:r>
        <w:rPr>
          <w:rFonts w:eastAsia="宋体"/>
          <w:sz w:val="28"/>
          <w:szCs w:val="28"/>
        </w:rPr>
        <w:fldChar w:fldCharType="begin"/>
      </w:r>
      <w:r>
        <w:rPr>
          <w:rFonts w:eastAsia="宋体"/>
          <w:sz w:val="28"/>
          <w:szCs w:val="28"/>
        </w:rPr>
        <w:instrText xml:space="preserve"> PAGEREF _Toc97033763 \h </w:instrText>
      </w:r>
      <w:r>
        <w:rPr>
          <w:rFonts w:eastAsia="宋体"/>
          <w:sz w:val="28"/>
          <w:szCs w:val="28"/>
        </w:rPr>
        <w:fldChar w:fldCharType="separate"/>
      </w:r>
      <w:r>
        <w:rPr>
          <w:rFonts w:eastAsia="宋体"/>
          <w:sz w:val="28"/>
          <w:szCs w:val="28"/>
        </w:rPr>
        <w:t>22</w:t>
      </w:r>
      <w:r>
        <w:rPr>
          <w:rFonts w:eastAsia="宋体"/>
          <w:sz w:val="28"/>
          <w:szCs w:val="28"/>
        </w:rPr>
        <w:fldChar w:fldCharType="end"/>
      </w:r>
      <w:r>
        <w:rPr>
          <w:rFonts w:eastAsia="宋体"/>
          <w:sz w:val="28"/>
          <w:szCs w:val="28"/>
        </w:rPr>
        <w:fldChar w:fldCharType="end"/>
      </w:r>
    </w:p>
    <w:p w14:paraId="6833362B">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"_Toc97033764" </w:instrText>
      </w:r>
      <w:r>
        <w:fldChar w:fldCharType="separate"/>
      </w:r>
      <w:r>
        <w:rPr>
          <w:rStyle w:val="27"/>
          <w:rFonts w:eastAsia="宋体"/>
          <w:sz w:val="28"/>
          <w:szCs w:val="28"/>
        </w:rPr>
        <w:t>（四）强化农业科技创新</w:t>
      </w:r>
      <w:r>
        <w:rPr>
          <w:rFonts w:eastAsia="宋体"/>
          <w:sz w:val="28"/>
          <w:szCs w:val="28"/>
        </w:rPr>
        <w:tab/>
      </w:r>
      <w:r>
        <w:rPr>
          <w:rFonts w:eastAsia="宋体"/>
          <w:sz w:val="28"/>
          <w:szCs w:val="28"/>
        </w:rPr>
        <w:fldChar w:fldCharType="begin"/>
      </w:r>
      <w:r>
        <w:rPr>
          <w:rFonts w:eastAsia="宋体"/>
          <w:sz w:val="28"/>
          <w:szCs w:val="28"/>
        </w:rPr>
        <w:instrText xml:space="preserve"> PAGEREF _Toc97033764 \h </w:instrText>
      </w:r>
      <w:r>
        <w:rPr>
          <w:rFonts w:eastAsia="宋体"/>
          <w:sz w:val="28"/>
          <w:szCs w:val="28"/>
        </w:rPr>
        <w:fldChar w:fldCharType="separate"/>
      </w:r>
      <w:r>
        <w:rPr>
          <w:rFonts w:eastAsia="宋体"/>
          <w:sz w:val="28"/>
          <w:szCs w:val="28"/>
        </w:rPr>
        <w:t>23</w:t>
      </w:r>
      <w:r>
        <w:rPr>
          <w:rFonts w:eastAsia="宋体"/>
          <w:sz w:val="28"/>
          <w:szCs w:val="28"/>
        </w:rPr>
        <w:fldChar w:fldCharType="end"/>
      </w:r>
      <w:r>
        <w:rPr>
          <w:rFonts w:eastAsia="宋体"/>
          <w:sz w:val="28"/>
          <w:szCs w:val="28"/>
        </w:rPr>
        <w:fldChar w:fldCharType="end"/>
      </w:r>
    </w:p>
    <w:p w14:paraId="6EA660EE">
      <w:pPr>
        <w:pStyle w:val="14"/>
        <w:tabs>
          <w:tab w:val="right" w:leader="dot" w:pos="8296"/>
        </w:tabs>
        <w:spacing w:line="520" w:lineRule="exact"/>
        <w:ind w:left="544" w:firstLine="624"/>
        <w:rPr>
          <w:rFonts w:eastAsia="宋体"/>
          <w:sz w:val="28"/>
          <w:szCs w:val="28"/>
        </w:rPr>
      </w:pPr>
      <w:r>
        <w:fldChar w:fldCharType="begin"/>
      </w:r>
      <w:r>
        <w:instrText xml:space="preserve"> HYPERLINK \l "_Toc97033765" </w:instrText>
      </w:r>
      <w:r>
        <w:fldChar w:fldCharType="separate"/>
      </w:r>
      <w:r>
        <w:rPr>
          <w:rStyle w:val="27"/>
          <w:rFonts w:eastAsia="宋体"/>
          <w:sz w:val="28"/>
          <w:szCs w:val="28"/>
        </w:rPr>
        <w:t>专栏3 农业创新驱动行动</w:t>
      </w:r>
      <w:r>
        <w:rPr>
          <w:rFonts w:eastAsia="宋体"/>
          <w:sz w:val="28"/>
          <w:szCs w:val="28"/>
        </w:rPr>
        <w:tab/>
      </w:r>
      <w:r>
        <w:rPr>
          <w:rFonts w:eastAsia="宋体"/>
          <w:sz w:val="28"/>
          <w:szCs w:val="28"/>
        </w:rPr>
        <w:fldChar w:fldCharType="begin"/>
      </w:r>
      <w:r>
        <w:rPr>
          <w:rFonts w:eastAsia="宋体"/>
          <w:sz w:val="28"/>
          <w:szCs w:val="28"/>
        </w:rPr>
        <w:instrText xml:space="preserve"> PAGEREF _Toc97033765 \h </w:instrText>
      </w:r>
      <w:r>
        <w:rPr>
          <w:rFonts w:eastAsia="宋体"/>
          <w:sz w:val="28"/>
          <w:szCs w:val="28"/>
        </w:rPr>
        <w:fldChar w:fldCharType="separate"/>
      </w:r>
      <w:r>
        <w:rPr>
          <w:rFonts w:eastAsia="宋体"/>
          <w:sz w:val="28"/>
          <w:szCs w:val="28"/>
        </w:rPr>
        <w:t>24</w:t>
      </w:r>
      <w:r>
        <w:rPr>
          <w:rFonts w:eastAsia="宋体"/>
          <w:sz w:val="28"/>
          <w:szCs w:val="28"/>
        </w:rPr>
        <w:fldChar w:fldCharType="end"/>
      </w:r>
      <w:r>
        <w:rPr>
          <w:rFonts w:eastAsia="宋体"/>
          <w:sz w:val="28"/>
          <w:szCs w:val="28"/>
        </w:rPr>
        <w:fldChar w:fldCharType="end"/>
      </w:r>
    </w:p>
    <w:p w14:paraId="0AAE0764">
      <w:pPr>
        <w:pStyle w:val="13"/>
        <w:tabs>
          <w:tab w:val="right" w:leader="dot" w:pos="8296"/>
        </w:tabs>
        <w:spacing w:line="520" w:lineRule="exact"/>
        <w:ind w:firstLine="624"/>
        <w:rPr>
          <w:rStyle w:val="27"/>
          <w:rFonts w:eastAsia="黑体"/>
        </w:rPr>
      </w:pPr>
      <w:r>
        <w:fldChar w:fldCharType="begin"/>
      </w:r>
      <w:r>
        <w:instrText xml:space="preserve"> HYPERLINK \l "_Toc97033766" </w:instrText>
      </w:r>
      <w:r>
        <w:fldChar w:fldCharType="separate"/>
      </w:r>
      <w:r>
        <w:rPr>
          <w:rStyle w:val="27"/>
          <w:rFonts w:eastAsia="黑体"/>
          <w:sz w:val="28"/>
          <w:szCs w:val="28"/>
        </w:rPr>
        <w:t>六、聚力融合促动，完善现代乡村产业体系</w:t>
      </w:r>
      <w:r>
        <w:rPr>
          <w:rStyle w:val="27"/>
          <w:rFonts w:eastAsia="黑体"/>
        </w:rPr>
        <w:tab/>
      </w:r>
      <w:r>
        <w:rPr>
          <w:rStyle w:val="27"/>
          <w:rFonts w:eastAsia="黑体"/>
        </w:rPr>
        <w:fldChar w:fldCharType="begin"/>
      </w:r>
      <w:r>
        <w:rPr>
          <w:rStyle w:val="27"/>
          <w:rFonts w:eastAsia="黑体"/>
        </w:rPr>
        <w:instrText xml:space="preserve"> PAGEREF _Toc97033766 \h </w:instrText>
      </w:r>
      <w:r>
        <w:rPr>
          <w:rStyle w:val="27"/>
          <w:rFonts w:eastAsia="黑体"/>
        </w:rPr>
        <w:fldChar w:fldCharType="separate"/>
      </w:r>
      <w:r>
        <w:rPr>
          <w:rStyle w:val="27"/>
          <w:rFonts w:eastAsia="黑体"/>
        </w:rPr>
        <w:t>25</w:t>
      </w:r>
      <w:r>
        <w:rPr>
          <w:rStyle w:val="27"/>
          <w:rFonts w:eastAsia="黑体"/>
        </w:rPr>
        <w:fldChar w:fldCharType="end"/>
      </w:r>
      <w:r>
        <w:rPr>
          <w:rStyle w:val="27"/>
          <w:rFonts w:eastAsia="黑体"/>
        </w:rPr>
        <w:fldChar w:fldCharType="end"/>
      </w:r>
    </w:p>
    <w:p w14:paraId="3D21DB71">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"_Toc97033767" </w:instrText>
      </w:r>
      <w:r>
        <w:fldChar w:fldCharType="separate"/>
      </w:r>
      <w:r>
        <w:rPr>
          <w:rStyle w:val="27"/>
          <w:rFonts w:eastAsia="宋体"/>
          <w:sz w:val="28"/>
          <w:szCs w:val="28"/>
        </w:rPr>
        <w:t>（一）推进农业园区化融合化</w:t>
      </w:r>
      <w:r>
        <w:rPr>
          <w:rFonts w:eastAsia="宋体"/>
          <w:sz w:val="28"/>
          <w:szCs w:val="28"/>
        </w:rPr>
        <w:tab/>
      </w:r>
      <w:r>
        <w:rPr>
          <w:rFonts w:eastAsia="宋体"/>
          <w:sz w:val="28"/>
          <w:szCs w:val="28"/>
        </w:rPr>
        <w:fldChar w:fldCharType="begin"/>
      </w:r>
      <w:r>
        <w:rPr>
          <w:rFonts w:eastAsia="宋体"/>
          <w:sz w:val="28"/>
          <w:szCs w:val="28"/>
        </w:rPr>
        <w:instrText xml:space="preserve"> PAGEREF _Toc97033767 \h </w:instrText>
      </w:r>
      <w:r>
        <w:rPr>
          <w:rFonts w:eastAsia="宋体"/>
          <w:sz w:val="28"/>
          <w:szCs w:val="28"/>
        </w:rPr>
        <w:fldChar w:fldCharType="separate"/>
      </w:r>
      <w:r>
        <w:rPr>
          <w:rFonts w:eastAsia="宋体"/>
          <w:sz w:val="28"/>
          <w:szCs w:val="28"/>
        </w:rPr>
        <w:t>25</w:t>
      </w:r>
      <w:r>
        <w:rPr>
          <w:rFonts w:eastAsia="宋体"/>
          <w:sz w:val="28"/>
          <w:szCs w:val="28"/>
        </w:rPr>
        <w:fldChar w:fldCharType="end"/>
      </w:r>
      <w:r>
        <w:rPr>
          <w:rFonts w:eastAsia="宋体"/>
          <w:sz w:val="28"/>
          <w:szCs w:val="28"/>
        </w:rPr>
        <w:fldChar w:fldCharType="end"/>
      </w:r>
    </w:p>
    <w:p w14:paraId="6BB66BB8">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"_Toc97033768" </w:instrText>
      </w:r>
      <w:r>
        <w:fldChar w:fldCharType="separate"/>
      </w:r>
      <w:r>
        <w:rPr>
          <w:rStyle w:val="27"/>
          <w:rFonts w:eastAsia="宋体"/>
          <w:sz w:val="28"/>
          <w:szCs w:val="28"/>
        </w:rPr>
        <w:t>（二）发展乡村新产业新业态</w:t>
      </w:r>
      <w:r>
        <w:rPr>
          <w:rFonts w:eastAsia="宋体"/>
          <w:sz w:val="28"/>
          <w:szCs w:val="28"/>
        </w:rPr>
        <w:tab/>
      </w:r>
      <w:r>
        <w:rPr>
          <w:rFonts w:eastAsia="宋体"/>
          <w:sz w:val="28"/>
          <w:szCs w:val="28"/>
        </w:rPr>
        <w:fldChar w:fldCharType="begin"/>
      </w:r>
      <w:r>
        <w:rPr>
          <w:rFonts w:eastAsia="宋体"/>
          <w:sz w:val="28"/>
          <w:szCs w:val="28"/>
        </w:rPr>
        <w:instrText xml:space="preserve"> PAGEREF _Toc97033768 \h </w:instrText>
      </w:r>
      <w:r>
        <w:rPr>
          <w:rFonts w:eastAsia="宋体"/>
          <w:sz w:val="28"/>
          <w:szCs w:val="28"/>
        </w:rPr>
        <w:fldChar w:fldCharType="separate"/>
      </w:r>
      <w:r>
        <w:rPr>
          <w:rFonts w:eastAsia="宋体"/>
          <w:sz w:val="28"/>
          <w:szCs w:val="28"/>
        </w:rPr>
        <w:t>26</w:t>
      </w:r>
      <w:r>
        <w:rPr>
          <w:rFonts w:eastAsia="宋体"/>
          <w:sz w:val="28"/>
          <w:szCs w:val="28"/>
        </w:rPr>
        <w:fldChar w:fldCharType="end"/>
      </w:r>
      <w:r>
        <w:rPr>
          <w:rFonts w:eastAsia="宋体"/>
          <w:sz w:val="28"/>
          <w:szCs w:val="28"/>
        </w:rPr>
        <w:fldChar w:fldCharType="end"/>
      </w:r>
    </w:p>
    <w:p w14:paraId="58B9EC3C">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"_Toc97033769" </w:instrText>
      </w:r>
      <w:r>
        <w:fldChar w:fldCharType="separate"/>
      </w:r>
      <w:r>
        <w:rPr>
          <w:rStyle w:val="27"/>
          <w:rFonts w:eastAsia="宋体"/>
          <w:sz w:val="28"/>
          <w:szCs w:val="28"/>
        </w:rPr>
        <w:t>（三）培育高端农业品牌</w:t>
      </w:r>
      <w:r>
        <w:rPr>
          <w:rFonts w:eastAsia="宋体"/>
          <w:sz w:val="28"/>
          <w:szCs w:val="28"/>
        </w:rPr>
        <w:tab/>
      </w:r>
      <w:r>
        <w:rPr>
          <w:rFonts w:eastAsia="宋体"/>
          <w:sz w:val="28"/>
          <w:szCs w:val="28"/>
        </w:rPr>
        <w:fldChar w:fldCharType="begin"/>
      </w:r>
      <w:r>
        <w:rPr>
          <w:rFonts w:eastAsia="宋体"/>
          <w:sz w:val="28"/>
          <w:szCs w:val="28"/>
        </w:rPr>
        <w:instrText xml:space="preserve"> PAGEREF _Toc97033769 \h </w:instrText>
      </w:r>
      <w:r>
        <w:rPr>
          <w:rFonts w:eastAsia="宋体"/>
          <w:sz w:val="28"/>
          <w:szCs w:val="28"/>
        </w:rPr>
        <w:fldChar w:fldCharType="separate"/>
      </w:r>
      <w:r>
        <w:rPr>
          <w:rFonts w:eastAsia="宋体"/>
          <w:sz w:val="28"/>
          <w:szCs w:val="28"/>
        </w:rPr>
        <w:t>28</w:t>
      </w:r>
      <w:r>
        <w:rPr>
          <w:rFonts w:eastAsia="宋体"/>
          <w:sz w:val="28"/>
          <w:szCs w:val="28"/>
        </w:rPr>
        <w:fldChar w:fldCharType="end"/>
      </w:r>
      <w:r>
        <w:rPr>
          <w:rFonts w:eastAsia="宋体"/>
          <w:sz w:val="28"/>
          <w:szCs w:val="28"/>
        </w:rPr>
        <w:fldChar w:fldCharType="end"/>
      </w:r>
    </w:p>
    <w:p w14:paraId="637695EE">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"_Toc97033770" </w:instrText>
      </w:r>
      <w:r>
        <w:fldChar w:fldCharType="separate"/>
      </w:r>
      <w:r>
        <w:rPr>
          <w:rStyle w:val="27"/>
          <w:rFonts w:eastAsia="宋体"/>
          <w:sz w:val="28"/>
          <w:szCs w:val="28"/>
        </w:rPr>
        <w:t>（四）推进农村创新创业</w:t>
      </w:r>
      <w:r>
        <w:rPr>
          <w:rFonts w:eastAsia="宋体"/>
          <w:sz w:val="28"/>
          <w:szCs w:val="28"/>
        </w:rPr>
        <w:tab/>
      </w:r>
      <w:r>
        <w:rPr>
          <w:rFonts w:eastAsia="宋体"/>
          <w:sz w:val="28"/>
          <w:szCs w:val="28"/>
        </w:rPr>
        <w:fldChar w:fldCharType="begin"/>
      </w:r>
      <w:r>
        <w:rPr>
          <w:rFonts w:eastAsia="宋体"/>
          <w:sz w:val="28"/>
          <w:szCs w:val="28"/>
        </w:rPr>
        <w:instrText xml:space="preserve"> PAGEREF _Toc97033770 \h </w:instrText>
      </w:r>
      <w:r>
        <w:rPr>
          <w:rFonts w:eastAsia="宋体"/>
          <w:sz w:val="28"/>
          <w:szCs w:val="28"/>
        </w:rPr>
        <w:fldChar w:fldCharType="separate"/>
      </w:r>
      <w:r>
        <w:rPr>
          <w:rFonts w:eastAsia="宋体"/>
          <w:sz w:val="28"/>
          <w:szCs w:val="28"/>
        </w:rPr>
        <w:t>28</w:t>
      </w:r>
      <w:r>
        <w:rPr>
          <w:rFonts w:eastAsia="宋体"/>
          <w:sz w:val="28"/>
          <w:szCs w:val="28"/>
        </w:rPr>
        <w:fldChar w:fldCharType="end"/>
      </w:r>
      <w:r>
        <w:rPr>
          <w:rFonts w:eastAsia="宋体"/>
          <w:sz w:val="28"/>
          <w:szCs w:val="28"/>
        </w:rPr>
        <w:fldChar w:fldCharType="end"/>
      </w:r>
    </w:p>
    <w:p w14:paraId="2B58E288">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"_Toc97033771" </w:instrText>
      </w:r>
      <w:r>
        <w:fldChar w:fldCharType="separate"/>
      </w:r>
      <w:r>
        <w:rPr>
          <w:rStyle w:val="27"/>
          <w:rFonts w:eastAsia="宋体"/>
          <w:sz w:val="28"/>
          <w:szCs w:val="28"/>
        </w:rPr>
        <w:t>（五）建设长三角绿色农产品生产加工供应基地</w:t>
      </w:r>
      <w:r>
        <w:rPr>
          <w:rFonts w:eastAsia="宋体"/>
          <w:sz w:val="28"/>
          <w:szCs w:val="28"/>
        </w:rPr>
        <w:tab/>
      </w:r>
      <w:r>
        <w:rPr>
          <w:rFonts w:eastAsia="宋体"/>
          <w:sz w:val="28"/>
          <w:szCs w:val="28"/>
        </w:rPr>
        <w:fldChar w:fldCharType="begin"/>
      </w:r>
      <w:r>
        <w:rPr>
          <w:rFonts w:eastAsia="宋体"/>
          <w:sz w:val="28"/>
          <w:szCs w:val="28"/>
        </w:rPr>
        <w:instrText xml:space="preserve"> PAGEREF _Toc97033771 \h </w:instrText>
      </w:r>
      <w:r>
        <w:rPr>
          <w:rFonts w:eastAsia="宋体"/>
          <w:sz w:val="28"/>
          <w:szCs w:val="28"/>
        </w:rPr>
        <w:fldChar w:fldCharType="separate"/>
      </w:r>
      <w:r>
        <w:rPr>
          <w:rFonts w:eastAsia="宋体"/>
          <w:sz w:val="28"/>
          <w:szCs w:val="28"/>
        </w:rPr>
        <w:t>29</w:t>
      </w:r>
      <w:r>
        <w:rPr>
          <w:rFonts w:eastAsia="宋体"/>
          <w:sz w:val="28"/>
          <w:szCs w:val="28"/>
        </w:rPr>
        <w:fldChar w:fldCharType="end"/>
      </w:r>
      <w:r>
        <w:rPr>
          <w:rFonts w:eastAsia="宋体"/>
          <w:sz w:val="28"/>
          <w:szCs w:val="28"/>
        </w:rPr>
        <w:fldChar w:fldCharType="end"/>
      </w:r>
    </w:p>
    <w:p w14:paraId="7C6F2619">
      <w:pPr>
        <w:pStyle w:val="14"/>
        <w:tabs>
          <w:tab w:val="right" w:leader="dot" w:pos="8296"/>
        </w:tabs>
        <w:spacing w:line="520" w:lineRule="exact"/>
        <w:ind w:left="544" w:firstLine="624"/>
        <w:rPr>
          <w:rFonts w:eastAsia="宋体"/>
          <w:sz w:val="28"/>
          <w:szCs w:val="28"/>
        </w:rPr>
      </w:pPr>
      <w:r>
        <w:fldChar w:fldCharType="begin"/>
      </w:r>
      <w:r>
        <w:instrText xml:space="preserve"> HYPERLINK \l "_Toc97033772" </w:instrText>
      </w:r>
      <w:r>
        <w:fldChar w:fldCharType="separate"/>
      </w:r>
      <w:r>
        <w:rPr>
          <w:rStyle w:val="27"/>
          <w:rFonts w:eastAsia="宋体"/>
          <w:sz w:val="28"/>
          <w:szCs w:val="28"/>
        </w:rPr>
        <w:t>专栏4 现代乡村产业体系提升行动</w:t>
      </w:r>
      <w:r>
        <w:rPr>
          <w:rFonts w:eastAsia="宋体"/>
          <w:sz w:val="28"/>
          <w:szCs w:val="28"/>
        </w:rPr>
        <w:tab/>
      </w:r>
      <w:r>
        <w:rPr>
          <w:rFonts w:eastAsia="宋体"/>
          <w:sz w:val="28"/>
          <w:szCs w:val="28"/>
        </w:rPr>
        <w:fldChar w:fldCharType="begin"/>
      </w:r>
      <w:r>
        <w:rPr>
          <w:rFonts w:eastAsia="宋体"/>
          <w:sz w:val="28"/>
          <w:szCs w:val="28"/>
        </w:rPr>
        <w:instrText xml:space="preserve"> PAGEREF _Toc97033772 \h </w:instrText>
      </w:r>
      <w:r>
        <w:rPr>
          <w:rFonts w:eastAsia="宋体"/>
          <w:sz w:val="28"/>
          <w:szCs w:val="28"/>
        </w:rPr>
        <w:fldChar w:fldCharType="separate"/>
      </w:r>
      <w:r>
        <w:rPr>
          <w:rFonts w:eastAsia="宋体"/>
          <w:sz w:val="28"/>
          <w:szCs w:val="28"/>
        </w:rPr>
        <w:t>30</w:t>
      </w:r>
      <w:r>
        <w:rPr>
          <w:rFonts w:eastAsia="宋体"/>
          <w:sz w:val="28"/>
          <w:szCs w:val="28"/>
        </w:rPr>
        <w:fldChar w:fldCharType="end"/>
      </w:r>
      <w:r>
        <w:rPr>
          <w:rFonts w:eastAsia="宋体"/>
          <w:sz w:val="28"/>
          <w:szCs w:val="28"/>
        </w:rPr>
        <w:fldChar w:fldCharType="end"/>
      </w:r>
    </w:p>
    <w:p w14:paraId="6F9A6BFE">
      <w:pPr>
        <w:pStyle w:val="13"/>
        <w:tabs>
          <w:tab w:val="right" w:leader="dot" w:pos="8296"/>
        </w:tabs>
        <w:spacing w:line="520" w:lineRule="exact"/>
        <w:ind w:firstLine="624"/>
        <w:rPr>
          <w:rStyle w:val="27"/>
          <w:rFonts w:eastAsia="黑体"/>
        </w:rPr>
      </w:pPr>
      <w:r>
        <w:fldChar w:fldCharType="begin"/>
      </w:r>
      <w:r>
        <w:instrText xml:space="preserve"> HYPERLINK \l "_Toc97033773" </w:instrText>
      </w:r>
      <w:r>
        <w:fldChar w:fldCharType="separate"/>
      </w:r>
      <w:r>
        <w:rPr>
          <w:rStyle w:val="27"/>
          <w:rFonts w:eastAsia="黑体"/>
          <w:sz w:val="28"/>
          <w:szCs w:val="28"/>
        </w:rPr>
        <w:t>七、强化主体联动，健全现代农业经营体系</w:t>
      </w:r>
      <w:r>
        <w:rPr>
          <w:rStyle w:val="27"/>
          <w:rFonts w:eastAsia="黑体"/>
        </w:rPr>
        <w:tab/>
      </w:r>
      <w:r>
        <w:rPr>
          <w:rStyle w:val="27"/>
          <w:rFonts w:eastAsia="黑体"/>
        </w:rPr>
        <w:fldChar w:fldCharType="begin"/>
      </w:r>
      <w:r>
        <w:rPr>
          <w:rStyle w:val="27"/>
          <w:rFonts w:eastAsia="黑体"/>
        </w:rPr>
        <w:instrText xml:space="preserve"> PAGEREF _Toc97033773 \h </w:instrText>
      </w:r>
      <w:r>
        <w:rPr>
          <w:rStyle w:val="27"/>
          <w:rFonts w:eastAsia="黑体"/>
        </w:rPr>
        <w:fldChar w:fldCharType="separate"/>
      </w:r>
      <w:r>
        <w:rPr>
          <w:rStyle w:val="27"/>
          <w:rFonts w:eastAsia="黑体"/>
        </w:rPr>
        <w:t>32</w:t>
      </w:r>
      <w:r>
        <w:rPr>
          <w:rStyle w:val="27"/>
          <w:rFonts w:eastAsia="黑体"/>
        </w:rPr>
        <w:fldChar w:fldCharType="end"/>
      </w:r>
      <w:r>
        <w:rPr>
          <w:rStyle w:val="27"/>
          <w:rFonts w:eastAsia="黑体"/>
        </w:rPr>
        <w:fldChar w:fldCharType="end"/>
      </w:r>
    </w:p>
    <w:p w14:paraId="2AFDF79F">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"_Toc97033774" </w:instrText>
      </w:r>
      <w:r>
        <w:fldChar w:fldCharType="separate"/>
      </w:r>
      <w:r>
        <w:rPr>
          <w:rStyle w:val="27"/>
          <w:rFonts w:eastAsia="宋体"/>
          <w:sz w:val="28"/>
          <w:szCs w:val="28"/>
        </w:rPr>
        <w:t>（一）加快培育发展家庭农场</w:t>
      </w:r>
      <w:r>
        <w:rPr>
          <w:rFonts w:eastAsia="宋体"/>
          <w:sz w:val="28"/>
          <w:szCs w:val="28"/>
        </w:rPr>
        <w:tab/>
      </w:r>
      <w:r>
        <w:rPr>
          <w:rFonts w:eastAsia="宋体"/>
          <w:sz w:val="28"/>
          <w:szCs w:val="28"/>
        </w:rPr>
        <w:fldChar w:fldCharType="begin"/>
      </w:r>
      <w:r>
        <w:rPr>
          <w:rFonts w:eastAsia="宋体"/>
          <w:sz w:val="28"/>
          <w:szCs w:val="28"/>
        </w:rPr>
        <w:instrText xml:space="preserve"> PAGEREF _Toc97033774 \h </w:instrText>
      </w:r>
      <w:r>
        <w:rPr>
          <w:rFonts w:eastAsia="宋体"/>
          <w:sz w:val="28"/>
          <w:szCs w:val="28"/>
        </w:rPr>
        <w:fldChar w:fldCharType="separate"/>
      </w:r>
      <w:r>
        <w:rPr>
          <w:rFonts w:eastAsia="宋体"/>
          <w:sz w:val="28"/>
          <w:szCs w:val="28"/>
        </w:rPr>
        <w:t>32</w:t>
      </w:r>
      <w:r>
        <w:rPr>
          <w:rFonts w:eastAsia="宋体"/>
          <w:sz w:val="28"/>
          <w:szCs w:val="28"/>
        </w:rPr>
        <w:fldChar w:fldCharType="end"/>
      </w:r>
      <w:r>
        <w:rPr>
          <w:rFonts w:eastAsia="宋体"/>
          <w:sz w:val="28"/>
          <w:szCs w:val="28"/>
        </w:rPr>
        <w:fldChar w:fldCharType="end"/>
      </w:r>
    </w:p>
    <w:p w14:paraId="10D06E9C">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"_Toc97033775" </w:instrText>
      </w:r>
      <w:r>
        <w:fldChar w:fldCharType="separate"/>
      </w:r>
      <w:r>
        <w:rPr>
          <w:rStyle w:val="27"/>
          <w:rFonts w:eastAsia="宋体"/>
          <w:sz w:val="28"/>
          <w:szCs w:val="28"/>
        </w:rPr>
        <w:t>（二）促进农民合作社规范提升</w:t>
      </w:r>
      <w:r>
        <w:rPr>
          <w:rFonts w:eastAsia="宋体"/>
          <w:sz w:val="28"/>
          <w:szCs w:val="28"/>
        </w:rPr>
        <w:tab/>
      </w:r>
      <w:r>
        <w:rPr>
          <w:rFonts w:eastAsia="宋体"/>
          <w:sz w:val="28"/>
          <w:szCs w:val="28"/>
        </w:rPr>
        <w:fldChar w:fldCharType="begin"/>
      </w:r>
      <w:r>
        <w:rPr>
          <w:rFonts w:eastAsia="宋体"/>
          <w:sz w:val="28"/>
          <w:szCs w:val="28"/>
        </w:rPr>
        <w:instrText xml:space="preserve"> PAGEREF _Toc97033775 \h </w:instrText>
      </w:r>
      <w:r>
        <w:rPr>
          <w:rFonts w:eastAsia="宋体"/>
          <w:sz w:val="28"/>
          <w:szCs w:val="28"/>
        </w:rPr>
        <w:fldChar w:fldCharType="separate"/>
      </w:r>
      <w:r>
        <w:rPr>
          <w:rFonts w:eastAsia="宋体"/>
          <w:sz w:val="28"/>
          <w:szCs w:val="28"/>
        </w:rPr>
        <w:t>32</w:t>
      </w:r>
      <w:r>
        <w:rPr>
          <w:rFonts w:eastAsia="宋体"/>
          <w:sz w:val="28"/>
          <w:szCs w:val="28"/>
        </w:rPr>
        <w:fldChar w:fldCharType="end"/>
      </w:r>
      <w:r>
        <w:rPr>
          <w:rFonts w:eastAsia="宋体"/>
          <w:sz w:val="28"/>
          <w:szCs w:val="28"/>
        </w:rPr>
        <w:fldChar w:fldCharType="end"/>
      </w:r>
    </w:p>
    <w:p w14:paraId="0C954A3C">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"_Toc97033776" </w:instrText>
      </w:r>
      <w:r>
        <w:fldChar w:fldCharType="separate"/>
      </w:r>
      <w:r>
        <w:rPr>
          <w:rStyle w:val="27"/>
          <w:rFonts w:eastAsia="宋体"/>
          <w:sz w:val="28"/>
          <w:szCs w:val="28"/>
        </w:rPr>
        <w:t>（三）壮大农业社会化服务组织</w:t>
      </w:r>
      <w:r>
        <w:rPr>
          <w:rFonts w:eastAsia="宋体"/>
          <w:sz w:val="28"/>
          <w:szCs w:val="28"/>
        </w:rPr>
        <w:tab/>
      </w:r>
      <w:r>
        <w:rPr>
          <w:rFonts w:eastAsia="宋体"/>
          <w:sz w:val="28"/>
          <w:szCs w:val="28"/>
        </w:rPr>
        <w:fldChar w:fldCharType="begin"/>
      </w:r>
      <w:r>
        <w:rPr>
          <w:rFonts w:eastAsia="宋体"/>
          <w:sz w:val="28"/>
          <w:szCs w:val="28"/>
        </w:rPr>
        <w:instrText xml:space="preserve"> PAGEREF _Toc97033776 \h </w:instrText>
      </w:r>
      <w:r>
        <w:rPr>
          <w:rFonts w:eastAsia="宋体"/>
          <w:sz w:val="28"/>
          <w:szCs w:val="28"/>
        </w:rPr>
        <w:fldChar w:fldCharType="separate"/>
      </w:r>
      <w:r>
        <w:rPr>
          <w:rFonts w:eastAsia="宋体"/>
          <w:sz w:val="28"/>
          <w:szCs w:val="28"/>
        </w:rPr>
        <w:t>33</w:t>
      </w:r>
      <w:r>
        <w:rPr>
          <w:rFonts w:eastAsia="宋体"/>
          <w:sz w:val="28"/>
          <w:szCs w:val="28"/>
        </w:rPr>
        <w:fldChar w:fldCharType="end"/>
      </w:r>
      <w:r>
        <w:rPr>
          <w:rFonts w:eastAsia="宋体"/>
          <w:sz w:val="28"/>
          <w:szCs w:val="28"/>
        </w:rPr>
        <w:fldChar w:fldCharType="end"/>
      </w:r>
    </w:p>
    <w:p w14:paraId="772B95CC">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"_Toc97033777" </w:instrText>
      </w:r>
      <w:r>
        <w:fldChar w:fldCharType="separate"/>
      </w:r>
      <w:r>
        <w:rPr>
          <w:rStyle w:val="27"/>
          <w:rFonts w:eastAsia="宋体"/>
          <w:sz w:val="28"/>
          <w:szCs w:val="28"/>
        </w:rPr>
        <w:t>（四）增强龙头企业带动能力</w:t>
      </w:r>
      <w:r>
        <w:rPr>
          <w:rFonts w:eastAsia="宋体"/>
          <w:sz w:val="28"/>
          <w:szCs w:val="28"/>
        </w:rPr>
        <w:tab/>
      </w:r>
      <w:r>
        <w:rPr>
          <w:rFonts w:eastAsia="宋体"/>
          <w:sz w:val="28"/>
          <w:szCs w:val="28"/>
        </w:rPr>
        <w:fldChar w:fldCharType="begin"/>
      </w:r>
      <w:r>
        <w:rPr>
          <w:rFonts w:eastAsia="宋体"/>
          <w:sz w:val="28"/>
          <w:szCs w:val="28"/>
        </w:rPr>
        <w:instrText xml:space="preserve"> PAGEREF _Toc97033777 \h </w:instrText>
      </w:r>
      <w:r>
        <w:rPr>
          <w:rFonts w:eastAsia="宋体"/>
          <w:sz w:val="28"/>
          <w:szCs w:val="28"/>
        </w:rPr>
        <w:fldChar w:fldCharType="separate"/>
      </w:r>
      <w:r>
        <w:rPr>
          <w:rFonts w:eastAsia="宋体"/>
          <w:sz w:val="28"/>
          <w:szCs w:val="28"/>
        </w:rPr>
        <w:t>33</w:t>
      </w:r>
      <w:r>
        <w:rPr>
          <w:rFonts w:eastAsia="宋体"/>
          <w:sz w:val="28"/>
          <w:szCs w:val="28"/>
        </w:rPr>
        <w:fldChar w:fldCharType="end"/>
      </w:r>
      <w:r>
        <w:rPr>
          <w:rFonts w:eastAsia="宋体"/>
          <w:sz w:val="28"/>
          <w:szCs w:val="28"/>
        </w:rPr>
        <w:fldChar w:fldCharType="end"/>
      </w:r>
    </w:p>
    <w:p w14:paraId="7E2E2E76">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"_Toc97033778" </w:instrText>
      </w:r>
      <w:r>
        <w:fldChar w:fldCharType="separate"/>
      </w:r>
      <w:r>
        <w:rPr>
          <w:rStyle w:val="27"/>
          <w:rFonts w:eastAsia="宋体"/>
          <w:sz w:val="28"/>
          <w:szCs w:val="28"/>
        </w:rPr>
        <w:t>（五）加强乡村人才队伍建设</w:t>
      </w:r>
      <w:r>
        <w:rPr>
          <w:rFonts w:eastAsia="宋体"/>
          <w:sz w:val="28"/>
          <w:szCs w:val="28"/>
        </w:rPr>
        <w:tab/>
      </w:r>
      <w:r>
        <w:rPr>
          <w:rFonts w:eastAsia="宋体"/>
          <w:sz w:val="28"/>
          <w:szCs w:val="28"/>
        </w:rPr>
        <w:fldChar w:fldCharType="begin"/>
      </w:r>
      <w:r>
        <w:rPr>
          <w:rFonts w:eastAsia="宋体"/>
          <w:sz w:val="28"/>
          <w:szCs w:val="28"/>
        </w:rPr>
        <w:instrText xml:space="preserve"> PAGEREF _Toc97033778 \h </w:instrText>
      </w:r>
      <w:r>
        <w:rPr>
          <w:rFonts w:eastAsia="宋体"/>
          <w:sz w:val="28"/>
          <w:szCs w:val="28"/>
        </w:rPr>
        <w:fldChar w:fldCharType="separate"/>
      </w:r>
      <w:r>
        <w:rPr>
          <w:rFonts w:eastAsia="宋体"/>
          <w:sz w:val="28"/>
          <w:szCs w:val="28"/>
        </w:rPr>
        <w:t>33</w:t>
      </w:r>
      <w:r>
        <w:rPr>
          <w:rFonts w:eastAsia="宋体"/>
          <w:sz w:val="28"/>
          <w:szCs w:val="28"/>
        </w:rPr>
        <w:fldChar w:fldCharType="end"/>
      </w:r>
      <w:r>
        <w:rPr>
          <w:rFonts w:eastAsia="宋体"/>
          <w:sz w:val="28"/>
          <w:szCs w:val="28"/>
        </w:rPr>
        <w:fldChar w:fldCharType="end"/>
      </w:r>
    </w:p>
    <w:p w14:paraId="195088A4">
      <w:pPr>
        <w:pStyle w:val="14"/>
        <w:tabs>
          <w:tab w:val="right" w:leader="dot" w:pos="8296"/>
        </w:tabs>
        <w:spacing w:line="520" w:lineRule="exact"/>
        <w:ind w:left="544" w:firstLine="624"/>
        <w:rPr>
          <w:rFonts w:eastAsia="宋体"/>
          <w:sz w:val="28"/>
          <w:szCs w:val="28"/>
        </w:rPr>
      </w:pPr>
      <w:r>
        <w:fldChar w:fldCharType="begin"/>
      </w:r>
      <w:r>
        <w:instrText xml:space="preserve"> HYPERLINK \l "_Toc97033779" </w:instrText>
      </w:r>
      <w:r>
        <w:fldChar w:fldCharType="separate"/>
      </w:r>
      <w:r>
        <w:rPr>
          <w:rStyle w:val="27"/>
          <w:rFonts w:eastAsia="宋体"/>
          <w:sz w:val="28"/>
          <w:szCs w:val="28"/>
        </w:rPr>
        <w:t>专栏5 现代农业经营体系建设行动</w:t>
      </w:r>
      <w:r>
        <w:rPr>
          <w:rFonts w:eastAsia="宋体"/>
          <w:sz w:val="28"/>
          <w:szCs w:val="28"/>
        </w:rPr>
        <w:tab/>
      </w:r>
      <w:r>
        <w:rPr>
          <w:rFonts w:eastAsia="宋体"/>
          <w:sz w:val="28"/>
          <w:szCs w:val="28"/>
        </w:rPr>
        <w:fldChar w:fldCharType="begin"/>
      </w:r>
      <w:r>
        <w:rPr>
          <w:rFonts w:eastAsia="宋体"/>
          <w:sz w:val="28"/>
          <w:szCs w:val="28"/>
        </w:rPr>
        <w:instrText xml:space="preserve"> PAGEREF _Toc97033779 \h </w:instrText>
      </w:r>
      <w:r>
        <w:rPr>
          <w:rFonts w:eastAsia="宋体"/>
          <w:sz w:val="28"/>
          <w:szCs w:val="28"/>
        </w:rPr>
        <w:fldChar w:fldCharType="separate"/>
      </w:r>
      <w:r>
        <w:rPr>
          <w:rFonts w:eastAsia="宋体"/>
          <w:sz w:val="28"/>
          <w:szCs w:val="28"/>
        </w:rPr>
        <w:t>34</w:t>
      </w:r>
      <w:r>
        <w:rPr>
          <w:rFonts w:eastAsia="宋体"/>
          <w:sz w:val="28"/>
          <w:szCs w:val="28"/>
        </w:rPr>
        <w:fldChar w:fldCharType="end"/>
      </w:r>
      <w:r>
        <w:rPr>
          <w:rFonts w:eastAsia="宋体"/>
          <w:sz w:val="28"/>
          <w:szCs w:val="28"/>
        </w:rPr>
        <w:fldChar w:fldCharType="end"/>
      </w:r>
    </w:p>
    <w:p w14:paraId="6D820687">
      <w:pPr>
        <w:pStyle w:val="13"/>
        <w:tabs>
          <w:tab w:val="right" w:leader="dot" w:pos="8296"/>
        </w:tabs>
        <w:spacing w:line="520" w:lineRule="exact"/>
        <w:ind w:firstLine="624"/>
        <w:rPr>
          <w:rStyle w:val="27"/>
          <w:rFonts w:eastAsia="黑体"/>
        </w:rPr>
      </w:pPr>
      <w:r>
        <w:fldChar w:fldCharType="begin"/>
      </w:r>
      <w:r>
        <w:instrText xml:space="preserve"> HYPERLINK \l "_Toc97033780" </w:instrText>
      </w:r>
      <w:r>
        <w:fldChar w:fldCharType="separate"/>
      </w:r>
      <w:r>
        <w:rPr>
          <w:rStyle w:val="27"/>
          <w:rFonts w:eastAsia="黑体"/>
          <w:sz w:val="28"/>
          <w:szCs w:val="28"/>
        </w:rPr>
        <w:t>八、加快乡村建设，打造宜居宜业美丽乡村</w:t>
      </w:r>
      <w:r>
        <w:rPr>
          <w:rStyle w:val="27"/>
          <w:rFonts w:eastAsia="黑体"/>
        </w:rPr>
        <w:tab/>
      </w:r>
      <w:r>
        <w:rPr>
          <w:rStyle w:val="27"/>
          <w:rFonts w:eastAsia="黑体"/>
        </w:rPr>
        <w:fldChar w:fldCharType="begin"/>
      </w:r>
      <w:r>
        <w:rPr>
          <w:rStyle w:val="27"/>
          <w:rFonts w:eastAsia="黑体"/>
        </w:rPr>
        <w:instrText xml:space="preserve"> PAGEREF _Toc97033780 \h </w:instrText>
      </w:r>
      <w:r>
        <w:rPr>
          <w:rStyle w:val="27"/>
          <w:rFonts w:eastAsia="黑体"/>
        </w:rPr>
        <w:fldChar w:fldCharType="separate"/>
      </w:r>
      <w:r>
        <w:rPr>
          <w:rStyle w:val="27"/>
          <w:rFonts w:eastAsia="黑体"/>
        </w:rPr>
        <w:t>35</w:t>
      </w:r>
      <w:r>
        <w:rPr>
          <w:rStyle w:val="27"/>
          <w:rFonts w:eastAsia="黑体"/>
        </w:rPr>
        <w:fldChar w:fldCharType="end"/>
      </w:r>
      <w:r>
        <w:rPr>
          <w:rStyle w:val="27"/>
          <w:rFonts w:eastAsia="黑体"/>
        </w:rPr>
        <w:fldChar w:fldCharType="end"/>
      </w:r>
    </w:p>
    <w:p w14:paraId="1A94B366">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"_Toc97033781" </w:instrText>
      </w:r>
      <w:r>
        <w:fldChar w:fldCharType="separate"/>
      </w:r>
      <w:r>
        <w:rPr>
          <w:rStyle w:val="27"/>
          <w:rFonts w:eastAsia="宋体"/>
          <w:sz w:val="28"/>
          <w:szCs w:val="28"/>
        </w:rPr>
        <w:t>（一）强化乡村建设规划引领</w:t>
      </w:r>
      <w:r>
        <w:rPr>
          <w:rFonts w:eastAsia="宋体"/>
          <w:sz w:val="28"/>
          <w:szCs w:val="28"/>
        </w:rPr>
        <w:tab/>
      </w:r>
      <w:r>
        <w:rPr>
          <w:rFonts w:eastAsia="宋体"/>
          <w:sz w:val="28"/>
          <w:szCs w:val="28"/>
        </w:rPr>
        <w:fldChar w:fldCharType="begin"/>
      </w:r>
      <w:r>
        <w:rPr>
          <w:rFonts w:eastAsia="宋体"/>
          <w:sz w:val="28"/>
          <w:szCs w:val="28"/>
        </w:rPr>
        <w:instrText xml:space="preserve"> PAGEREF _Toc97033781 \h </w:instrText>
      </w:r>
      <w:r>
        <w:rPr>
          <w:rFonts w:eastAsia="宋体"/>
          <w:sz w:val="28"/>
          <w:szCs w:val="28"/>
        </w:rPr>
        <w:fldChar w:fldCharType="separate"/>
      </w:r>
      <w:r>
        <w:rPr>
          <w:rFonts w:eastAsia="宋体"/>
          <w:sz w:val="28"/>
          <w:szCs w:val="28"/>
        </w:rPr>
        <w:t>35</w:t>
      </w:r>
      <w:r>
        <w:rPr>
          <w:rFonts w:eastAsia="宋体"/>
          <w:sz w:val="28"/>
          <w:szCs w:val="28"/>
        </w:rPr>
        <w:fldChar w:fldCharType="end"/>
      </w:r>
      <w:r>
        <w:rPr>
          <w:rFonts w:eastAsia="宋体"/>
          <w:sz w:val="28"/>
          <w:szCs w:val="28"/>
        </w:rPr>
        <w:fldChar w:fldCharType="end"/>
      </w:r>
    </w:p>
    <w:p w14:paraId="13E9352C">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"_Toc97033782" </w:instrText>
      </w:r>
      <w:r>
        <w:fldChar w:fldCharType="separate"/>
      </w:r>
      <w:r>
        <w:rPr>
          <w:rStyle w:val="27"/>
          <w:rFonts w:eastAsia="宋体"/>
          <w:sz w:val="28"/>
          <w:szCs w:val="28"/>
        </w:rPr>
        <w:t>（二）加强农村基础设施建设</w:t>
      </w:r>
      <w:r>
        <w:rPr>
          <w:rFonts w:eastAsia="宋体"/>
          <w:sz w:val="28"/>
          <w:szCs w:val="28"/>
        </w:rPr>
        <w:tab/>
      </w:r>
      <w:r>
        <w:rPr>
          <w:rFonts w:eastAsia="宋体"/>
          <w:sz w:val="28"/>
          <w:szCs w:val="28"/>
        </w:rPr>
        <w:fldChar w:fldCharType="begin"/>
      </w:r>
      <w:r>
        <w:rPr>
          <w:rFonts w:eastAsia="宋体"/>
          <w:sz w:val="28"/>
          <w:szCs w:val="28"/>
        </w:rPr>
        <w:instrText xml:space="preserve"> PAGEREF _Toc97033782 \h </w:instrText>
      </w:r>
      <w:r>
        <w:rPr>
          <w:rFonts w:eastAsia="宋体"/>
          <w:sz w:val="28"/>
          <w:szCs w:val="28"/>
        </w:rPr>
        <w:fldChar w:fldCharType="separate"/>
      </w:r>
      <w:r>
        <w:rPr>
          <w:rFonts w:eastAsia="宋体"/>
          <w:sz w:val="28"/>
          <w:szCs w:val="28"/>
        </w:rPr>
        <w:t>35</w:t>
      </w:r>
      <w:r>
        <w:rPr>
          <w:rFonts w:eastAsia="宋体"/>
          <w:sz w:val="28"/>
          <w:szCs w:val="28"/>
        </w:rPr>
        <w:fldChar w:fldCharType="end"/>
      </w:r>
      <w:r>
        <w:rPr>
          <w:rFonts w:eastAsia="宋体"/>
          <w:sz w:val="28"/>
          <w:szCs w:val="28"/>
        </w:rPr>
        <w:fldChar w:fldCharType="end"/>
      </w:r>
    </w:p>
    <w:p w14:paraId="6E9776DF">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"_Toc97033783" </w:instrText>
      </w:r>
      <w:r>
        <w:fldChar w:fldCharType="separate"/>
      </w:r>
      <w:r>
        <w:rPr>
          <w:rStyle w:val="27"/>
          <w:rFonts w:eastAsia="宋体"/>
          <w:sz w:val="28"/>
          <w:szCs w:val="28"/>
        </w:rPr>
        <w:t>（三）提升农村公共服务水平</w:t>
      </w:r>
      <w:r>
        <w:rPr>
          <w:rFonts w:eastAsia="宋体"/>
          <w:sz w:val="28"/>
          <w:szCs w:val="28"/>
        </w:rPr>
        <w:tab/>
      </w:r>
      <w:r>
        <w:rPr>
          <w:rFonts w:eastAsia="宋体"/>
          <w:sz w:val="28"/>
          <w:szCs w:val="28"/>
        </w:rPr>
        <w:fldChar w:fldCharType="begin"/>
      </w:r>
      <w:r>
        <w:rPr>
          <w:rFonts w:eastAsia="宋体"/>
          <w:sz w:val="28"/>
          <w:szCs w:val="28"/>
        </w:rPr>
        <w:instrText xml:space="preserve"> PAGEREF _Toc97033783 \h </w:instrText>
      </w:r>
      <w:r>
        <w:rPr>
          <w:rFonts w:eastAsia="宋体"/>
          <w:sz w:val="28"/>
          <w:szCs w:val="28"/>
        </w:rPr>
        <w:fldChar w:fldCharType="separate"/>
      </w:r>
      <w:r>
        <w:rPr>
          <w:rFonts w:eastAsia="宋体"/>
          <w:sz w:val="28"/>
          <w:szCs w:val="28"/>
        </w:rPr>
        <w:t>37</w:t>
      </w:r>
      <w:r>
        <w:rPr>
          <w:rFonts w:eastAsia="宋体"/>
          <w:sz w:val="28"/>
          <w:szCs w:val="28"/>
        </w:rPr>
        <w:fldChar w:fldCharType="end"/>
      </w:r>
      <w:r>
        <w:rPr>
          <w:rFonts w:eastAsia="宋体"/>
          <w:sz w:val="28"/>
          <w:szCs w:val="28"/>
        </w:rPr>
        <w:fldChar w:fldCharType="end"/>
      </w:r>
    </w:p>
    <w:p w14:paraId="3A939EA1">
      <w:pPr>
        <w:pStyle w:val="14"/>
        <w:tabs>
          <w:tab w:val="right" w:leader="dot" w:pos="8296"/>
        </w:tabs>
        <w:spacing w:line="520" w:lineRule="exact"/>
        <w:ind w:left="0" w:leftChars="0" w:firstLine="1080" w:firstLineChars="346"/>
        <w:rPr>
          <w:rFonts w:eastAsia="宋体"/>
          <w:sz w:val="28"/>
          <w:szCs w:val="28"/>
        </w:rPr>
      </w:pPr>
      <w:r>
        <w:fldChar w:fldCharType="begin"/>
      </w:r>
      <w:r>
        <w:instrText xml:space="preserve"> HYPERLINK \l "_Toc97033784" </w:instrText>
      </w:r>
      <w:r>
        <w:fldChar w:fldCharType="separate"/>
      </w:r>
      <w:r>
        <w:rPr>
          <w:rStyle w:val="27"/>
          <w:rFonts w:eastAsia="宋体"/>
          <w:sz w:val="28"/>
          <w:szCs w:val="28"/>
        </w:rPr>
        <w:t>（四）建设更高水平美丽乡村</w:t>
      </w:r>
      <w:r>
        <w:rPr>
          <w:rFonts w:eastAsia="宋体"/>
          <w:sz w:val="28"/>
          <w:szCs w:val="28"/>
        </w:rPr>
        <w:tab/>
      </w:r>
      <w:r>
        <w:rPr>
          <w:rFonts w:eastAsia="宋体"/>
          <w:sz w:val="28"/>
          <w:szCs w:val="28"/>
        </w:rPr>
        <w:fldChar w:fldCharType="begin"/>
      </w:r>
      <w:r>
        <w:rPr>
          <w:rFonts w:eastAsia="宋体"/>
          <w:sz w:val="28"/>
          <w:szCs w:val="28"/>
        </w:rPr>
        <w:instrText xml:space="preserve"> PAGEREF _Toc97033784 \h </w:instrText>
      </w:r>
      <w:r>
        <w:rPr>
          <w:rFonts w:eastAsia="宋体"/>
          <w:sz w:val="28"/>
          <w:szCs w:val="28"/>
        </w:rPr>
        <w:fldChar w:fldCharType="separate"/>
      </w:r>
      <w:r>
        <w:rPr>
          <w:rFonts w:eastAsia="宋体"/>
          <w:sz w:val="28"/>
          <w:szCs w:val="28"/>
        </w:rPr>
        <w:t>38</w:t>
      </w:r>
      <w:r>
        <w:rPr>
          <w:rFonts w:eastAsia="宋体"/>
          <w:sz w:val="28"/>
          <w:szCs w:val="28"/>
        </w:rPr>
        <w:fldChar w:fldCharType="end"/>
      </w:r>
      <w:r>
        <w:rPr>
          <w:rFonts w:eastAsia="宋体"/>
          <w:sz w:val="28"/>
          <w:szCs w:val="28"/>
        </w:rPr>
        <w:fldChar w:fldCharType="end"/>
      </w:r>
    </w:p>
    <w:p w14:paraId="24766D14">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"_Toc97033785" </w:instrText>
      </w:r>
      <w:r>
        <w:fldChar w:fldCharType="separate"/>
      </w:r>
      <w:r>
        <w:rPr>
          <w:rStyle w:val="27"/>
          <w:rFonts w:eastAsia="宋体"/>
          <w:sz w:val="28"/>
          <w:szCs w:val="28"/>
        </w:rPr>
        <w:t>（五）推进乡村治理现代化</w:t>
      </w:r>
      <w:r>
        <w:rPr>
          <w:rFonts w:eastAsia="宋体"/>
          <w:sz w:val="28"/>
          <w:szCs w:val="28"/>
        </w:rPr>
        <w:tab/>
      </w:r>
      <w:r>
        <w:rPr>
          <w:rFonts w:eastAsia="宋体"/>
          <w:sz w:val="28"/>
          <w:szCs w:val="28"/>
        </w:rPr>
        <w:fldChar w:fldCharType="begin"/>
      </w:r>
      <w:r>
        <w:rPr>
          <w:rFonts w:eastAsia="宋体"/>
          <w:sz w:val="28"/>
          <w:szCs w:val="28"/>
        </w:rPr>
        <w:instrText xml:space="preserve"> PAGEREF _Toc97033785 \h </w:instrText>
      </w:r>
      <w:r>
        <w:rPr>
          <w:rFonts w:eastAsia="宋体"/>
          <w:sz w:val="28"/>
          <w:szCs w:val="28"/>
        </w:rPr>
        <w:fldChar w:fldCharType="separate"/>
      </w:r>
      <w:r>
        <w:rPr>
          <w:rFonts w:eastAsia="宋体"/>
          <w:sz w:val="28"/>
          <w:szCs w:val="28"/>
        </w:rPr>
        <w:t>39</w:t>
      </w:r>
      <w:r>
        <w:rPr>
          <w:rFonts w:eastAsia="宋体"/>
          <w:sz w:val="28"/>
          <w:szCs w:val="28"/>
        </w:rPr>
        <w:fldChar w:fldCharType="end"/>
      </w:r>
      <w:r>
        <w:rPr>
          <w:rFonts w:eastAsia="宋体"/>
          <w:sz w:val="28"/>
          <w:szCs w:val="28"/>
        </w:rPr>
        <w:fldChar w:fldCharType="end"/>
      </w:r>
    </w:p>
    <w:p w14:paraId="0FE3C23F">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"_Toc97033786" </w:instrText>
      </w:r>
      <w:r>
        <w:fldChar w:fldCharType="separate"/>
      </w:r>
      <w:r>
        <w:rPr>
          <w:rStyle w:val="27"/>
          <w:rFonts w:eastAsia="宋体"/>
          <w:sz w:val="28"/>
          <w:szCs w:val="28"/>
        </w:rPr>
        <w:t>（六）全面促进农村消费</w:t>
      </w:r>
      <w:r>
        <w:rPr>
          <w:rFonts w:eastAsia="宋体"/>
          <w:sz w:val="28"/>
          <w:szCs w:val="28"/>
        </w:rPr>
        <w:tab/>
      </w:r>
      <w:r>
        <w:rPr>
          <w:rFonts w:eastAsia="宋体"/>
          <w:sz w:val="28"/>
          <w:szCs w:val="28"/>
        </w:rPr>
        <w:fldChar w:fldCharType="begin"/>
      </w:r>
      <w:r>
        <w:rPr>
          <w:rFonts w:eastAsia="宋体"/>
          <w:sz w:val="28"/>
          <w:szCs w:val="28"/>
        </w:rPr>
        <w:instrText xml:space="preserve"> PAGEREF _Toc97033786 \h </w:instrText>
      </w:r>
      <w:r>
        <w:rPr>
          <w:rFonts w:eastAsia="宋体"/>
          <w:sz w:val="28"/>
          <w:szCs w:val="28"/>
        </w:rPr>
        <w:fldChar w:fldCharType="separate"/>
      </w:r>
      <w:r>
        <w:rPr>
          <w:rFonts w:eastAsia="宋体"/>
          <w:sz w:val="28"/>
          <w:szCs w:val="28"/>
        </w:rPr>
        <w:t>40</w:t>
      </w:r>
      <w:r>
        <w:rPr>
          <w:rFonts w:eastAsia="宋体"/>
          <w:sz w:val="28"/>
          <w:szCs w:val="28"/>
        </w:rPr>
        <w:fldChar w:fldCharType="end"/>
      </w:r>
      <w:r>
        <w:rPr>
          <w:rFonts w:eastAsia="宋体"/>
          <w:sz w:val="28"/>
          <w:szCs w:val="28"/>
        </w:rPr>
        <w:fldChar w:fldCharType="end"/>
      </w:r>
    </w:p>
    <w:p w14:paraId="0AF9A818">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"_Toc97033787" </w:instrText>
      </w:r>
      <w:r>
        <w:fldChar w:fldCharType="separate"/>
      </w:r>
      <w:r>
        <w:rPr>
          <w:rStyle w:val="27"/>
          <w:rFonts w:eastAsia="宋体"/>
          <w:sz w:val="28"/>
          <w:szCs w:val="28"/>
        </w:rPr>
        <w:t>专栏6 乡村建设行动</w:t>
      </w:r>
      <w:r>
        <w:rPr>
          <w:rFonts w:eastAsia="宋体"/>
          <w:sz w:val="28"/>
          <w:szCs w:val="28"/>
        </w:rPr>
        <w:tab/>
      </w:r>
      <w:r>
        <w:rPr>
          <w:rFonts w:eastAsia="宋体"/>
          <w:sz w:val="28"/>
          <w:szCs w:val="28"/>
        </w:rPr>
        <w:fldChar w:fldCharType="begin"/>
      </w:r>
      <w:r>
        <w:rPr>
          <w:rFonts w:eastAsia="宋体"/>
          <w:sz w:val="28"/>
          <w:szCs w:val="28"/>
        </w:rPr>
        <w:instrText xml:space="preserve"> PAGEREF _Toc97033787 \h </w:instrText>
      </w:r>
      <w:r>
        <w:rPr>
          <w:rFonts w:eastAsia="宋体"/>
          <w:sz w:val="28"/>
          <w:szCs w:val="28"/>
        </w:rPr>
        <w:fldChar w:fldCharType="separate"/>
      </w:r>
      <w:r>
        <w:rPr>
          <w:rFonts w:eastAsia="宋体"/>
          <w:sz w:val="28"/>
          <w:szCs w:val="28"/>
        </w:rPr>
        <w:t>40</w:t>
      </w:r>
      <w:r>
        <w:rPr>
          <w:rFonts w:eastAsia="宋体"/>
          <w:sz w:val="28"/>
          <w:szCs w:val="28"/>
        </w:rPr>
        <w:fldChar w:fldCharType="end"/>
      </w:r>
      <w:r>
        <w:rPr>
          <w:rFonts w:eastAsia="宋体"/>
          <w:sz w:val="28"/>
          <w:szCs w:val="28"/>
        </w:rPr>
        <w:fldChar w:fldCharType="end"/>
      </w:r>
    </w:p>
    <w:p w14:paraId="20B68756">
      <w:pPr>
        <w:pStyle w:val="13"/>
        <w:tabs>
          <w:tab w:val="right" w:leader="dot" w:pos="8296"/>
        </w:tabs>
        <w:spacing w:line="520" w:lineRule="exact"/>
        <w:ind w:firstLine="624"/>
        <w:rPr>
          <w:rStyle w:val="27"/>
          <w:rFonts w:eastAsia="黑体"/>
        </w:rPr>
      </w:pPr>
      <w:r>
        <w:fldChar w:fldCharType="begin"/>
      </w:r>
      <w:r>
        <w:instrText xml:space="preserve"> HYPERLINK \l "_Toc97033788" </w:instrText>
      </w:r>
      <w:r>
        <w:fldChar w:fldCharType="separate"/>
      </w:r>
      <w:r>
        <w:rPr>
          <w:rStyle w:val="27"/>
          <w:rFonts w:eastAsia="黑体"/>
          <w:sz w:val="28"/>
          <w:szCs w:val="28"/>
        </w:rPr>
        <w:t>九、深化农村改革，提升城乡融合发展活力</w:t>
      </w:r>
      <w:r>
        <w:rPr>
          <w:rStyle w:val="27"/>
          <w:rFonts w:eastAsia="黑体"/>
        </w:rPr>
        <w:tab/>
      </w:r>
      <w:r>
        <w:rPr>
          <w:rStyle w:val="27"/>
          <w:rFonts w:eastAsia="黑体"/>
        </w:rPr>
        <w:fldChar w:fldCharType="begin"/>
      </w:r>
      <w:r>
        <w:rPr>
          <w:rStyle w:val="27"/>
          <w:rFonts w:eastAsia="黑体"/>
        </w:rPr>
        <w:instrText xml:space="preserve"> PAGEREF _Toc97033788 \h </w:instrText>
      </w:r>
      <w:r>
        <w:rPr>
          <w:rStyle w:val="27"/>
          <w:rFonts w:eastAsia="黑体"/>
        </w:rPr>
        <w:fldChar w:fldCharType="separate"/>
      </w:r>
      <w:r>
        <w:rPr>
          <w:rStyle w:val="27"/>
          <w:rFonts w:eastAsia="黑体"/>
        </w:rPr>
        <w:t>42</w:t>
      </w:r>
      <w:r>
        <w:rPr>
          <w:rStyle w:val="27"/>
          <w:rFonts w:eastAsia="黑体"/>
        </w:rPr>
        <w:fldChar w:fldCharType="end"/>
      </w:r>
      <w:r>
        <w:rPr>
          <w:rStyle w:val="27"/>
          <w:rFonts w:eastAsia="黑体"/>
        </w:rPr>
        <w:fldChar w:fldCharType="end"/>
      </w:r>
    </w:p>
    <w:p w14:paraId="5BC3259A">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"_Toc97033789" </w:instrText>
      </w:r>
      <w:r>
        <w:fldChar w:fldCharType="separate"/>
      </w:r>
      <w:r>
        <w:rPr>
          <w:rStyle w:val="27"/>
          <w:rFonts w:eastAsia="宋体"/>
          <w:sz w:val="28"/>
          <w:szCs w:val="28"/>
        </w:rPr>
        <w:t>（一）完善农村基本经营制度</w:t>
      </w:r>
      <w:r>
        <w:rPr>
          <w:rFonts w:eastAsia="宋体"/>
          <w:sz w:val="28"/>
          <w:szCs w:val="28"/>
        </w:rPr>
        <w:tab/>
      </w:r>
      <w:r>
        <w:rPr>
          <w:rFonts w:eastAsia="宋体"/>
          <w:sz w:val="28"/>
          <w:szCs w:val="28"/>
        </w:rPr>
        <w:fldChar w:fldCharType="begin"/>
      </w:r>
      <w:r>
        <w:rPr>
          <w:rFonts w:eastAsia="宋体"/>
          <w:sz w:val="28"/>
          <w:szCs w:val="28"/>
        </w:rPr>
        <w:instrText xml:space="preserve"> PAGEREF _Toc97033789 \h </w:instrText>
      </w:r>
      <w:r>
        <w:rPr>
          <w:rFonts w:eastAsia="宋体"/>
          <w:sz w:val="28"/>
          <w:szCs w:val="28"/>
        </w:rPr>
        <w:fldChar w:fldCharType="separate"/>
      </w:r>
      <w:r>
        <w:rPr>
          <w:rFonts w:eastAsia="宋体"/>
          <w:sz w:val="28"/>
          <w:szCs w:val="28"/>
        </w:rPr>
        <w:t>42</w:t>
      </w:r>
      <w:r>
        <w:rPr>
          <w:rFonts w:eastAsia="宋体"/>
          <w:sz w:val="28"/>
          <w:szCs w:val="28"/>
        </w:rPr>
        <w:fldChar w:fldCharType="end"/>
      </w:r>
      <w:r>
        <w:rPr>
          <w:rFonts w:eastAsia="宋体"/>
          <w:sz w:val="28"/>
          <w:szCs w:val="28"/>
        </w:rPr>
        <w:fldChar w:fldCharType="end"/>
      </w:r>
    </w:p>
    <w:p w14:paraId="1920CBFC">
      <w:pPr>
        <w:pStyle w:val="14"/>
        <w:tabs>
          <w:tab w:val="right" w:leader="dot" w:pos="8296"/>
        </w:tabs>
        <w:spacing w:line="520" w:lineRule="exact"/>
        <w:ind w:left="0" w:leftChars="0" w:firstLine="927" w:firstLineChars="297"/>
        <w:rPr>
          <w:rFonts w:eastAsia="宋体"/>
          <w:sz w:val="28"/>
          <w:szCs w:val="28"/>
        </w:rPr>
      </w:pPr>
      <w:r>
        <w:fldChar w:fldCharType="begin"/>
      </w:r>
      <w:r>
        <w:instrText xml:space="preserve"> HYPERLINK \l "_Toc97033790" </w:instrText>
      </w:r>
      <w:r>
        <w:fldChar w:fldCharType="separate"/>
      </w:r>
      <w:r>
        <w:rPr>
          <w:rStyle w:val="27"/>
          <w:rFonts w:eastAsia="宋体"/>
          <w:sz w:val="28"/>
          <w:szCs w:val="28"/>
        </w:rPr>
        <w:t>（二）深化农村土地制度改革</w:t>
      </w:r>
      <w:r>
        <w:rPr>
          <w:rFonts w:eastAsia="宋体"/>
          <w:sz w:val="28"/>
          <w:szCs w:val="28"/>
        </w:rPr>
        <w:tab/>
      </w:r>
      <w:r>
        <w:rPr>
          <w:rFonts w:eastAsia="宋体"/>
          <w:sz w:val="28"/>
          <w:szCs w:val="28"/>
        </w:rPr>
        <w:fldChar w:fldCharType="begin"/>
      </w:r>
      <w:r>
        <w:rPr>
          <w:rFonts w:eastAsia="宋体"/>
          <w:sz w:val="28"/>
          <w:szCs w:val="28"/>
        </w:rPr>
        <w:instrText xml:space="preserve"> PAGEREF _Toc97033790 \h </w:instrText>
      </w:r>
      <w:r>
        <w:rPr>
          <w:rFonts w:eastAsia="宋体"/>
          <w:sz w:val="28"/>
          <w:szCs w:val="28"/>
        </w:rPr>
        <w:fldChar w:fldCharType="separate"/>
      </w:r>
      <w:r>
        <w:rPr>
          <w:rFonts w:eastAsia="宋体"/>
          <w:sz w:val="28"/>
          <w:szCs w:val="28"/>
        </w:rPr>
        <w:t>42</w:t>
      </w:r>
      <w:r>
        <w:rPr>
          <w:rFonts w:eastAsia="宋体"/>
          <w:sz w:val="28"/>
          <w:szCs w:val="28"/>
        </w:rPr>
        <w:fldChar w:fldCharType="end"/>
      </w:r>
      <w:r>
        <w:rPr>
          <w:rFonts w:eastAsia="宋体"/>
          <w:sz w:val="28"/>
          <w:szCs w:val="28"/>
        </w:rPr>
        <w:fldChar w:fldCharType="end"/>
      </w:r>
    </w:p>
    <w:p w14:paraId="64DAF9C6">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"_Toc97033791" </w:instrText>
      </w:r>
      <w:r>
        <w:fldChar w:fldCharType="separate"/>
      </w:r>
      <w:r>
        <w:rPr>
          <w:rStyle w:val="27"/>
          <w:rFonts w:eastAsia="宋体"/>
          <w:sz w:val="28"/>
          <w:szCs w:val="28"/>
        </w:rPr>
        <w:t>（三）提高农村“三变”改革质量</w:t>
      </w:r>
      <w:r>
        <w:rPr>
          <w:rFonts w:eastAsia="宋体"/>
          <w:sz w:val="28"/>
          <w:szCs w:val="28"/>
        </w:rPr>
        <w:tab/>
      </w:r>
      <w:r>
        <w:rPr>
          <w:rFonts w:eastAsia="宋体"/>
          <w:sz w:val="28"/>
          <w:szCs w:val="28"/>
        </w:rPr>
        <w:fldChar w:fldCharType="begin"/>
      </w:r>
      <w:r>
        <w:rPr>
          <w:rFonts w:eastAsia="宋体"/>
          <w:sz w:val="28"/>
          <w:szCs w:val="28"/>
        </w:rPr>
        <w:instrText xml:space="preserve"> PAGEREF _Toc97033791 \h </w:instrText>
      </w:r>
      <w:r>
        <w:rPr>
          <w:rFonts w:eastAsia="宋体"/>
          <w:sz w:val="28"/>
          <w:szCs w:val="28"/>
        </w:rPr>
        <w:fldChar w:fldCharType="separate"/>
      </w:r>
      <w:r>
        <w:rPr>
          <w:rFonts w:eastAsia="宋体"/>
          <w:sz w:val="28"/>
          <w:szCs w:val="28"/>
        </w:rPr>
        <w:t>43</w:t>
      </w:r>
      <w:r>
        <w:rPr>
          <w:rFonts w:eastAsia="宋体"/>
          <w:sz w:val="28"/>
          <w:szCs w:val="28"/>
        </w:rPr>
        <w:fldChar w:fldCharType="end"/>
      </w:r>
      <w:r>
        <w:rPr>
          <w:rFonts w:eastAsia="宋体"/>
          <w:sz w:val="28"/>
          <w:szCs w:val="28"/>
        </w:rPr>
        <w:fldChar w:fldCharType="end"/>
      </w:r>
    </w:p>
    <w:p w14:paraId="28CEF221">
      <w:pPr>
        <w:pStyle w:val="14"/>
        <w:tabs>
          <w:tab w:val="right" w:leader="dot" w:pos="8296"/>
        </w:tabs>
        <w:spacing w:line="520" w:lineRule="exact"/>
        <w:ind w:left="0" w:leftChars="0" w:firstLine="927" w:firstLineChars="297"/>
        <w:rPr>
          <w:rFonts w:eastAsia="宋体"/>
          <w:sz w:val="28"/>
          <w:szCs w:val="28"/>
        </w:rPr>
      </w:pPr>
      <w:r>
        <w:fldChar w:fldCharType="begin"/>
      </w:r>
      <w:r>
        <w:instrText xml:space="preserve"> HYPERLINK \l "_Toc97033792" </w:instrText>
      </w:r>
      <w:r>
        <w:fldChar w:fldCharType="separate"/>
      </w:r>
      <w:r>
        <w:rPr>
          <w:rStyle w:val="27"/>
          <w:rFonts w:eastAsia="宋体"/>
          <w:sz w:val="28"/>
          <w:szCs w:val="28"/>
        </w:rPr>
        <w:t>（四）健全农村金融服务体系</w:t>
      </w:r>
      <w:r>
        <w:rPr>
          <w:rFonts w:eastAsia="宋体"/>
          <w:sz w:val="28"/>
          <w:szCs w:val="28"/>
        </w:rPr>
        <w:tab/>
      </w:r>
      <w:r>
        <w:rPr>
          <w:rFonts w:eastAsia="宋体"/>
          <w:sz w:val="28"/>
          <w:szCs w:val="28"/>
        </w:rPr>
        <w:fldChar w:fldCharType="begin"/>
      </w:r>
      <w:r>
        <w:rPr>
          <w:rFonts w:eastAsia="宋体"/>
          <w:sz w:val="28"/>
          <w:szCs w:val="28"/>
        </w:rPr>
        <w:instrText xml:space="preserve"> PAGEREF _Toc97033792 \h </w:instrText>
      </w:r>
      <w:r>
        <w:rPr>
          <w:rFonts w:eastAsia="宋体"/>
          <w:sz w:val="28"/>
          <w:szCs w:val="28"/>
        </w:rPr>
        <w:fldChar w:fldCharType="separate"/>
      </w:r>
      <w:r>
        <w:rPr>
          <w:rFonts w:eastAsia="宋体"/>
          <w:sz w:val="28"/>
          <w:szCs w:val="28"/>
        </w:rPr>
        <w:t>43</w:t>
      </w:r>
      <w:r>
        <w:rPr>
          <w:rFonts w:eastAsia="宋体"/>
          <w:sz w:val="28"/>
          <w:szCs w:val="28"/>
        </w:rPr>
        <w:fldChar w:fldCharType="end"/>
      </w:r>
      <w:r>
        <w:rPr>
          <w:rFonts w:eastAsia="宋体"/>
          <w:sz w:val="28"/>
          <w:szCs w:val="28"/>
        </w:rPr>
        <w:fldChar w:fldCharType="end"/>
      </w:r>
    </w:p>
    <w:p w14:paraId="26401653">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"_Toc97033793" </w:instrText>
      </w:r>
      <w:r>
        <w:fldChar w:fldCharType="separate"/>
      </w:r>
      <w:r>
        <w:rPr>
          <w:rStyle w:val="27"/>
          <w:rFonts w:eastAsia="宋体"/>
          <w:sz w:val="28"/>
          <w:szCs w:val="28"/>
        </w:rPr>
        <w:t>（五）统筹推进水利、林业、供销等领域改革</w:t>
      </w:r>
      <w:r>
        <w:rPr>
          <w:rFonts w:eastAsia="宋体"/>
          <w:sz w:val="28"/>
          <w:szCs w:val="28"/>
        </w:rPr>
        <w:tab/>
      </w:r>
      <w:r>
        <w:rPr>
          <w:rFonts w:eastAsia="宋体"/>
          <w:sz w:val="28"/>
          <w:szCs w:val="28"/>
        </w:rPr>
        <w:fldChar w:fldCharType="begin"/>
      </w:r>
      <w:r>
        <w:rPr>
          <w:rFonts w:eastAsia="宋体"/>
          <w:sz w:val="28"/>
          <w:szCs w:val="28"/>
        </w:rPr>
        <w:instrText xml:space="preserve"> PAGEREF _Toc97033793 \h </w:instrText>
      </w:r>
      <w:r>
        <w:rPr>
          <w:rFonts w:eastAsia="宋体"/>
          <w:sz w:val="28"/>
          <w:szCs w:val="28"/>
        </w:rPr>
        <w:fldChar w:fldCharType="separate"/>
      </w:r>
      <w:r>
        <w:rPr>
          <w:rFonts w:eastAsia="宋体"/>
          <w:sz w:val="28"/>
          <w:szCs w:val="28"/>
        </w:rPr>
        <w:t>44</w:t>
      </w:r>
      <w:r>
        <w:rPr>
          <w:rFonts w:eastAsia="宋体"/>
          <w:sz w:val="28"/>
          <w:szCs w:val="28"/>
        </w:rPr>
        <w:fldChar w:fldCharType="end"/>
      </w:r>
      <w:r>
        <w:rPr>
          <w:rFonts w:eastAsia="宋体"/>
          <w:sz w:val="28"/>
          <w:szCs w:val="28"/>
        </w:rPr>
        <w:fldChar w:fldCharType="end"/>
      </w:r>
    </w:p>
    <w:p w14:paraId="42FAEABC">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"_Toc97033794" </w:instrText>
      </w:r>
      <w:r>
        <w:fldChar w:fldCharType="separate"/>
      </w:r>
      <w:r>
        <w:rPr>
          <w:rStyle w:val="27"/>
          <w:rFonts w:eastAsia="宋体"/>
          <w:sz w:val="28"/>
          <w:szCs w:val="28"/>
        </w:rPr>
        <w:t>（六）加快城乡融合发展</w:t>
      </w:r>
      <w:r>
        <w:rPr>
          <w:rFonts w:eastAsia="宋体"/>
          <w:sz w:val="28"/>
          <w:szCs w:val="28"/>
        </w:rPr>
        <w:tab/>
      </w:r>
      <w:r>
        <w:rPr>
          <w:rFonts w:eastAsia="宋体"/>
          <w:sz w:val="28"/>
          <w:szCs w:val="28"/>
        </w:rPr>
        <w:fldChar w:fldCharType="begin"/>
      </w:r>
      <w:r>
        <w:rPr>
          <w:rFonts w:eastAsia="宋体"/>
          <w:sz w:val="28"/>
          <w:szCs w:val="28"/>
        </w:rPr>
        <w:instrText xml:space="preserve"> PAGEREF _Toc97033794 \h </w:instrText>
      </w:r>
      <w:r>
        <w:rPr>
          <w:rFonts w:eastAsia="宋体"/>
          <w:sz w:val="28"/>
          <w:szCs w:val="28"/>
        </w:rPr>
        <w:fldChar w:fldCharType="separate"/>
      </w:r>
      <w:r>
        <w:rPr>
          <w:rFonts w:eastAsia="宋体"/>
          <w:sz w:val="28"/>
          <w:szCs w:val="28"/>
        </w:rPr>
        <w:t>44</w:t>
      </w:r>
      <w:r>
        <w:rPr>
          <w:rFonts w:eastAsia="宋体"/>
          <w:sz w:val="28"/>
          <w:szCs w:val="28"/>
        </w:rPr>
        <w:fldChar w:fldCharType="end"/>
      </w:r>
      <w:r>
        <w:rPr>
          <w:rFonts w:eastAsia="宋体"/>
          <w:sz w:val="28"/>
          <w:szCs w:val="28"/>
        </w:rPr>
        <w:fldChar w:fldCharType="end"/>
      </w:r>
    </w:p>
    <w:p w14:paraId="344C1DC1">
      <w:pPr>
        <w:pStyle w:val="13"/>
        <w:tabs>
          <w:tab w:val="right" w:leader="dot" w:pos="8296"/>
        </w:tabs>
        <w:spacing w:line="520" w:lineRule="exact"/>
        <w:ind w:firstLine="624"/>
        <w:rPr>
          <w:rStyle w:val="27"/>
          <w:rFonts w:eastAsia="黑体"/>
        </w:rPr>
      </w:pPr>
      <w:r>
        <w:fldChar w:fldCharType="begin"/>
      </w:r>
      <w:r>
        <w:instrText xml:space="preserve"> HYPERLINK \l "_Toc97033795" </w:instrText>
      </w:r>
      <w:r>
        <w:fldChar w:fldCharType="separate"/>
      </w:r>
      <w:r>
        <w:rPr>
          <w:rStyle w:val="27"/>
          <w:rFonts w:eastAsia="黑体"/>
          <w:sz w:val="28"/>
          <w:szCs w:val="28"/>
        </w:rPr>
        <w:t>十、巩固拓展脱贫攻坚成果，接续推进乡村全面振兴</w:t>
      </w:r>
      <w:r>
        <w:rPr>
          <w:rStyle w:val="27"/>
          <w:rFonts w:eastAsia="黑体"/>
        </w:rPr>
        <w:tab/>
      </w:r>
      <w:r>
        <w:rPr>
          <w:rStyle w:val="27"/>
          <w:rFonts w:eastAsia="黑体"/>
        </w:rPr>
        <w:fldChar w:fldCharType="begin"/>
      </w:r>
      <w:r>
        <w:rPr>
          <w:rStyle w:val="27"/>
          <w:rFonts w:eastAsia="黑体"/>
        </w:rPr>
        <w:instrText xml:space="preserve"> PAGEREF _Toc97033795 \h </w:instrText>
      </w:r>
      <w:r>
        <w:rPr>
          <w:rStyle w:val="27"/>
          <w:rFonts w:eastAsia="黑体"/>
        </w:rPr>
        <w:fldChar w:fldCharType="separate"/>
      </w:r>
      <w:r>
        <w:rPr>
          <w:rStyle w:val="27"/>
          <w:rFonts w:eastAsia="黑体"/>
        </w:rPr>
        <w:t>46</w:t>
      </w:r>
      <w:r>
        <w:rPr>
          <w:rStyle w:val="27"/>
          <w:rFonts w:eastAsia="黑体"/>
        </w:rPr>
        <w:fldChar w:fldCharType="end"/>
      </w:r>
      <w:r>
        <w:rPr>
          <w:rStyle w:val="27"/>
          <w:rFonts w:eastAsia="黑体"/>
        </w:rPr>
        <w:fldChar w:fldCharType="end"/>
      </w:r>
    </w:p>
    <w:p w14:paraId="0AD76380">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"_Toc97033796" </w:instrText>
      </w:r>
      <w:r>
        <w:fldChar w:fldCharType="separate"/>
      </w:r>
      <w:r>
        <w:rPr>
          <w:rStyle w:val="27"/>
          <w:rFonts w:eastAsia="宋体"/>
          <w:sz w:val="28"/>
          <w:szCs w:val="28"/>
        </w:rPr>
        <w:t>（一）建立健全巩固拓展脱贫攻坚成果长效机制</w:t>
      </w:r>
      <w:r>
        <w:rPr>
          <w:rFonts w:eastAsia="宋体"/>
          <w:sz w:val="28"/>
          <w:szCs w:val="28"/>
        </w:rPr>
        <w:tab/>
      </w:r>
      <w:r>
        <w:rPr>
          <w:rFonts w:eastAsia="宋体"/>
          <w:sz w:val="28"/>
          <w:szCs w:val="28"/>
        </w:rPr>
        <w:fldChar w:fldCharType="begin"/>
      </w:r>
      <w:r>
        <w:rPr>
          <w:rFonts w:eastAsia="宋体"/>
          <w:sz w:val="28"/>
          <w:szCs w:val="28"/>
        </w:rPr>
        <w:instrText xml:space="preserve"> PAGEREF _Toc97033796 \h </w:instrText>
      </w:r>
      <w:r>
        <w:rPr>
          <w:rFonts w:eastAsia="宋体"/>
          <w:sz w:val="28"/>
          <w:szCs w:val="28"/>
        </w:rPr>
        <w:fldChar w:fldCharType="separate"/>
      </w:r>
      <w:r>
        <w:rPr>
          <w:rFonts w:eastAsia="宋体"/>
          <w:sz w:val="28"/>
          <w:szCs w:val="28"/>
        </w:rPr>
        <w:t>46</w:t>
      </w:r>
      <w:r>
        <w:rPr>
          <w:rFonts w:eastAsia="宋体"/>
          <w:sz w:val="28"/>
          <w:szCs w:val="28"/>
        </w:rPr>
        <w:fldChar w:fldCharType="end"/>
      </w:r>
      <w:r>
        <w:rPr>
          <w:rFonts w:eastAsia="宋体"/>
          <w:sz w:val="28"/>
          <w:szCs w:val="28"/>
        </w:rPr>
        <w:fldChar w:fldCharType="end"/>
      </w:r>
    </w:p>
    <w:p w14:paraId="231C0340">
      <w:pPr>
        <w:pStyle w:val="14"/>
        <w:tabs>
          <w:tab w:val="right" w:leader="dot" w:pos="8296"/>
        </w:tabs>
        <w:spacing w:line="520" w:lineRule="exact"/>
        <w:ind w:left="0" w:leftChars="0" w:firstLine="927" w:firstLineChars="297"/>
        <w:rPr>
          <w:rFonts w:eastAsia="宋体"/>
          <w:sz w:val="28"/>
          <w:szCs w:val="28"/>
        </w:rPr>
      </w:pPr>
      <w:r>
        <w:fldChar w:fldCharType="begin"/>
      </w:r>
      <w:r>
        <w:instrText xml:space="preserve"> HYPERLINK \l "_Toc97033797" </w:instrText>
      </w:r>
      <w:r>
        <w:fldChar w:fldCharType="separate"/>
      </w:r>
      <w:r>
        <w:rPr>
          <w:rStyle w:val="27"/>
          <w:rFonts w:eastAsia="宋体"/>
          <w:sz w:val="28"/>
          <w:szCs w:val="28"/>
        </w:rPr>
        <w:t>（二）健全农村低收入人口常态化帮扶机制</w:t>
      </w:r>
      <w:r>
        <w:rPr>
          <w:rFonts w:eastAsia="宋体"/>
          <w:sz w:val="28"/>
          <w:szCs w:val="28"/>
        </w:rPr>
        <w:tab/>
      </w:r>
      <w:r>
        <w:rPr>
          <w:rFonts w:eastAsia="宋体"/>
          <w:sz w:val="28"/>
          <w:szCs w:val="28"/>
        </w:rPr>
        <w:fldChar w:fldCharType="begin"/>
      </w:r>
      <w:r>
        <w:rPr>
          <w:rFonts w:eastAsia="宋体"/>
          <w:sz w:val="28"/>
          <w:szCs w:val="28"/>
        </w:rPr>
        <w:instrText xml:space="preserve"> PAGEREF _Toc97033797 \h </w:instrText>
      </w:r>
      <w:r>
        <w:rPr>
          <w:rFonts w:eastAsia="宋体"/>
          <w:sz w:val="28"/>
          <w:szCs w:val="28"/>
        </w:rPr>
        <w:fldChar w:fldCharType="separate"/>
      </w:r>
      <w:r>
        <w:rPr>
          <w:rFonts w:eastAsia="宋体"/>
          <w:sz w:val="28"/>
          <w:szCs w:val="28"/>
        </w:rPr>
        <w:t>47</w:t>
      </w:r>
      <w:r>
        <w:rPr>
          <w:rFonts w:eastAsia="宋体"/>
          <w:sz w:val="28"/>
          <w:szCs w:val="28"/>
        </w:rPr>
        <w:fldChar w:fldCharType="end"/>
      </w:r>
      <w:r>
        <w:rPr>
          <w:rFonts w:eastAsia="宋体"/>
          <w:sz w:val="28"/>
          <w:szCs w:val="28"/>
        </w:rPr>
        <w:fldChar w:fldCharType="end"/>
      </w:r>
    </w:p>
    <w:p w14:paraId="185F1803">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"_Toc97033798" </w:instrText>
      </w:r>
      <w:r>
        <w:fldChar w:fldCharType="separate"/>
      </w:r>
      <w:r>
        <w:rPr>
          <w:rStyle w:val="27"/>
          <w:rFonts w:eastAsia="宋体"/>
          <w:sz w:val="28"/>
          <w:szCs w:val="28"/>
        </w:rPr>
        <w:t>（三）接续推进乡村振兴</w:t>
      </w:r>
      <w:r>
        <w:rPr>
          <w:rFonts w:eastAsia="宋体"/>
          <w:sz w:val="28"/>
          <w:szCs w:val="28"/>
        </w:rPr>
        <w:tab/>
      </w:r>
      <w:r>
        <w:rPr>
          <w:rFonts w:eastAsia="宋体"/>
          <w:sz w:val="28"/>
          <w:szCs w:val="28"/>
        </w:rPr>
        <w:fldChar w:fldCharType="begin"/>
      </w:r>
      <w:r>
        <w:rPr>
          <w:rFonts w:eastAsia="宋体"/>
          <w:sz w:val="28"/>
          <w:szCs w:val="28"/>
        </w:rPr>
        <w:instrText xml:space="preserve"> PAGEREF _Toc97033798 \h </w:instrText>
      </w:r>
      <w:r>
        <w:rPr>
          <w:rFonts w:eastAsia="宋体"/>
          <w:sz w:val="28"/>
          <w:szCs w:val="28"/>
        </w:rPr>
        <w:fldChar w:fldCharType="separate"/>
      </w:r>
      <w:r>
        <w:rPr>
          <w:rFonts w:eastAsia="宋体"/>
          <w:sz w:val="28"/>
          <w:szCs w:val="28"/>
        </w:rPr>
        <w:t>49</w:t>
      </w:r>
      <w:r>
        <w:rPr>
          <w:rFonts w:eastAsia="宋体"/>
          <w:sz w:val="28"/>
          <w:szCs w:val="28"/>
        </w:rPr>
        <w:fldChar w:fldCharType="end"/>
      </w:r>
      <w:r>
        <w:rPr>
          <w:rFonts w:eastAsia="宋体"/>
          <w:sz w:val="28"/>
          <w:szCs w:val="28"/>
        </w:rPr>
        <w:fldChar w:fldCharType="end"/>
      </w:r>
    </w:p>
    <w:p w14:paraId="798C4E1E">
      <w:pPr>
        <w:pStyle w:val="13"/>
        <w:tabs>
          <w:tab w:val="right" w:leader="dot" w:pos="8296"/>
        </w:tabs>
        <w:spacing w:line="520" w:lineRule="exact"/>
        <w:ind w:firstLine="624"/>
        <w:rPr>
          <w:rStyle w:val="27"/>
          <w:rFonts w:eastAsia="黑体"/>
        </w:rPr>
      </w:pPr>
      <w:r>
        <w:fldChar w:fldCharType="begin"/>
      </w:r>
      <w:r>
        <w:instrText xml:space="preserve"> HYPERLINK \l "_Toc97033799" </w:instrText>
      </w:r>
      <w:r>
        <w:fldChar w:fldCharType="separate"/>
      </w:r>
      <w:r>
        <w:rPr>
          <w:rStyle w:val="27"/>
          <w:rFonts w:eastAsia="黑体"/>
          <w:sz w:val="28"/>
          <w:szCs w:val="28"/>
        </w:rPr>
        <w:t>十一、促进农民收入大幅度增长</w:t>
      </w:r>
      <w:r>
        <w:rPr>
          <w:rStyle w:val="27"/>
          <w:rFonts w:eastAsia="黑体"/>
        </w:rPr>
        <w:tab/>
      </w:r>
      <w:r>
        <w:rPr>
          <w:rStyle w:val="27"/>
          <w:rFonts w:eastAsia="黑体"/>
        </w:rPr>
        <w:fldChar w:fldCharType="begin"/>
      </w:r>
      <w:r>
        <w:rPr>
          <w:rStyle w:val="27"/>
          <w:rFonts w:eastAsia="黑体"/>
        </w:rPr>
        <w:instrText xml:space="preserve"> PAGEREF _Toc97033799 \h </w:instrText>
      </w:r>
      <w:r>
        <w:rPr>
          <w:rStyle w:val="27"/>
          <w:rFonts w:eastAsia="黑体"/>
        </w:rPr>
        <w:fldChar w:fldCharType="separate"/>
      </w:r>
      <w:r>
        <w:rPr>
          <w:rStyle w:val="27"/>
          <w:rFonts w:eastAsia="黑体"/>
        </w:rPr>
        <w:t>50</w:t>
      </w:r>
      <w:r>
        <w:rPr>
          <w:rStyle w:val="27"/>
          <w:rFonts w:eastAsia="黑体"/>
        </w:rPr>
        <w:fldChar w:fldCharType="end"/>
      </w:r>
      <w:r>
        <w:rPr>
          <w:rStyle w:val="27"/>
          <w:rFonts w:eastAsia="黑体"/>
        </w:rPr>
        <w:fldChar w:fldCharType="end"/>
      </w:r>
    </w:p>
    <w:p w14:paraId="1B4CD23F">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"_Toc97033800" </w:instrText>
      </w:r>
      <w:r>
        <w:fldChar w:fldCharType="separate"/>
      </w:r>
      <w:r>
        <w:rPr>
          <w:rStyle w:val="27"/>
          <w:rFonts w:eastAsia="宋体"/>
          <w:sz w:val="28"/>
          <w:szCs w:val="28"/>
        </w:rPr>
        <w:t>（一）培育高素质农民队伍</w:t>
      </w:r>
      <w:r>
        <w:rPr>
          <w:rFonts w:eastAsia="宋体"/>
          <w:sz w:val="28"/>
          <w:szCs w:val="28"/>
        </w:rPr>
        <w:tab/>
      </w:r>
      <w:r>
        <w:rPr>
          <w:rFonts w:eastAsia="宋体"/>
          <w:sz w:val="28"/>
          <w:szCs w:val="28"/>
        </w:rPr>
        <w:fldChar w:fldCharType="begin"/>
      </w:r>
      <w:r>
        <w:rPr>
          <w:rFonts w:eastAsia="宋体"/>
          <w:sz w:val="28"/>
          <w:szCs w:val="28"/>
        </w:rPr>
        <w:instrText xml:space="preserve"> PAGEREF _Toc97033800 \h </w:instrText>
      </w:r>
      <w:r>
        <w:rPr>
          <w:rFonts w:eastAsia="宋体"/>
          <w:sz w:val="28"/>
          <w:szCs w:val="28"/>
        </w:rPr>
        <w:fldChar w:fldCharType="separate"/>
      </w:r>
      <w:r>
        <w:rPr>
          <w:rFonts w:eastAsia="宋体"/>
          <w:sz w:val="28"/>
          <w:szCs w:val="28"/>
        </w:rPr>
        <w:t>50</w:t>
      </w:r>
      <w:r>
        <w:rPr>
          <w:rFonts w:eastAsia="宋体"/>
          <w:sz w:val="28"/>
          <w:szCs w:val="28"/>
        </w:rPr>
        <w:fldChar w:fldCharType="end"/>
      </w:r>
      <w:r>
        <w:rPr>
          <w:rFonts w:eastAsia="宋体"/>
          <w:sz w:val="28"/>
          <w:szCs w:val="28"/>
        </w:rPr>
        <w:fldChar w:fldCharType="end"/>
      </w:r>
    </w:p>
    <w:p w14:paraId="10C6D3E0">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"_Toc97033801" </w:instrText>
      </w:r>
      <w:r>
        <w:fldChar w:fldCharType="separate"/>
      </w:r>
      <w:r>
        <w:rPr>
          <w:rStyle w:val="27"/>
          <w:rFonts w:eastAsia="宋体"/>
          <w:sz w:val="28"/>
          <w:szCs w:val="28"/>
        </w:rPr>
        <w:t>（二）实施农民收入跃升计划</w:t>
      </w:r>
      <w:r>
        <w:rPr>
          <w:rFonts w:eastAsia="宋体"/>
          <w:sz w:val="28"/>
          <w:szCs w:val="28"/>
        </w:rPr>
        <w:tab/>
      </w:r>
      <w:r>
        <w:rPr>
          <w:rFonts w:eastAsia="宋体"/>
          <w:sz w:val="28"/>
          <w:szCs w:val="28"/>
        </w:rPr>
        <w:fldChar w:fldCharType="begin"/>
      </w:r>
      <w:r>
        <w:rPr>
          <w:rFonts w:eastAsia="宋体"/>
          <w:sz w:val="28"/>
          <w:szCs w:val="28"/>
        </w:rPr>
        <w:instrText xml:space="preserve"> PAGEREF _Toc97033801 \h </w:instrText>
      </w:r>
      <w:r>
        <w:rPr>
          <w:rFonts w:eastAsia="宋体"/>
          <w:sz w:val="28"/>
          <w:szCs w:val="28"/>
        </w:rPr>
        <w:fldChar w:fldCharType="separate"/>
      </w:r>
      <w:r>
        <w:rPr>
          <w:rFonts w:eastAsia="宋体"/>
          <w:sz w:val="28"/>
          <w:szCs w:val="28"/>
        </w:rPr>
        <w:t>50</w:t>
      </w:r>
      <w:r>
        <w:rPr>
          <w:rFonts w:eastAsia="宋体"/>
          <w:sz w:val="28"/>
          <w:szCs w:val="28"/>
        </w:rPr>
        <w:fldChar w:fldCharType="end"/>
      </w:r>
      <w:r>
        <w:rPr>
          <w:rFonts w:eastAsia="宋体"/>
          <w:sz w:val="28"/>
          <w:szCs w:val="28"/>
        </w:rPr>
        <w:fldChar w:fldCharType="end"/>
      </w:r>
    </w:p>
    <w:p w14:paraId="51BA8D62">
      <w:pPr>
        <w:pStyle w:val="14"/>
        <w:tabs>
          <w:tab w:val="right" w:leader="dot" w:pos="8296"/>
        </w:tabs>
        <w:spacing w:line="520" w:lineRule="exact"/>
        <w:ind w:left="0" w:leftChars="0" w:firstLine="1086" w:firstLineChars="348"/>
        <w:rPr>
          <w:rFonts w:eastAsia="宋体"/>
          <w:sz w:val="28"/>
          <w:szCs w:val="28"/>
        </w:rPr>
      </w:pPr>
      <w:r>
        <w:fldChar w:fldCharType="begin"/>
      </w:r>
      <w:r>
        <w:instrText xml:space="preserve"> HYPERLINK \l "_Toc97033802" </w:instrText>
      </w:r>
      <w:r>
        <w:fldChar w:fldCharType="separate"/>
      </w:r>
      <w:r>
        <w:rPr>
          <w:rStyle w:val="27"/>
          <w:rFonts w:eastAsia="宋体"/>
          <w:sz w:val="28"/>
          <w:szCs w:val="28"/>
        </w:rPr>
        <w:t>专栏7 农民收入增长重大工程</w:t>
      </w:r>
      <w:r>
        <w:rPr>
          <w:rFonts w:eastAsia="宋体"/>
          <w:sz w:val="28"/>
          <w:szCs w:val="28"/>
        </w:rPr>
        <w:tab/>
      </w:r>
      <w:r>
        <w:rPr>
          <w:rFonts w:eastAsia="宋体"/>
          <w:sz w:val="28"/>
          <w:szCs w:val="28"/>
        </w:rPr>
        <w:fldChar w:fldCharType="begin"/>
      </w:r>
      <w:r>
        <w:rPr>
          <w:rFonts w:eastAsia="宋体"/>
          <w:sz w:val="28"/>
          <w:szCs w:val="28"/>
        </w:rPr>
        <w:instrText xml:space="preserve"> PAGEREF _Toc97033802 \h </w:instrText>
      </w:r>
      <w:r>
        <w:rPr>
          <w:rFonts w:eastAsia="宋体"/>
          <w:sz w:val="28"/>
          <w:szCs w:val="28"/>
        </w:rPr>
        <w:fldChar w:fldCharType="separate"/>
      </w:r>
      <w:r>
        <w:rPr>
          <w:rFonts w:eastAsia="宋体"/>
          <w:sz w:val="28"/>
          <w:szCs w:val="28"/>
        </w:rPr>
        <w:t>52</w:t>
      </w:r>
      <w:r>
        <w:rPr>
          <w:rFonts w:eastAsia="宋体"/>
          <w:sz w:val="28"/>
          <w:szCs w:val="28"/>
        </w:rPr>
        <w:fldChar w:fldCharType="end"/>
      </w:r>
      <w:r>
        <w:rPr>
          <w:rFonts w:eastAsia="宋体"/>
          <w:sz w:val="28"/>
          <w:szCs w:val="28"/>
        </w:rPr>
        <w:fldChar w:fldCharType="end"/>
      </w:r>
    </w:p>
    <w:p w14:paraId="4B8A7456">
      <w:pPr>
        <w:pStyle w:val="13"/>
        <w:tabs>
          <w:tab w:val="right" w:leader="dot" w:pos="8296"/>
        </w:tabs>
        <w:spacing w:line="520" w:lineRule="exact"/>
        <w:ind w:firstLine="624"/>
        <w:rPr>
          <w:rStyle w:val="27"/>
          <w:rFonts w:eastAsia="黑体"/>
        </w:rPr>
      </w:pPr>
      <w:r>
        <w:fldChar w:fldCharType="begin"/>
      </w:r>
      <w:r>
        <w:instrText xml:space="preserve"> HYPERLINK \l "_Toc97033803" </w:instrText>
      </w:r>
      <w:r>
        <w:fldChar w:fldCharType="separate"/>
      </w:r>
      <w:r>
        <w:rPr>
          <w:rStyle w:val="27"/>
          <w:rFonts w:eastAsia="黑体"/>
          <w:sz w:val="28"/>
          <w:szCs w:val="28"/>
        </w:rPr>
        <w:t>十二、健全规划落实机制</w:t>
      </w:r>
      <w:r>
        <w:rPr>
          <w:rStyle w:val="27"/>
          <w:rFonts w:eastAsia="黑体"/>
        </w:rPr>
        <w:tab/>
      </w:r>
      <w:r>
        <w:rPr>
          <w:rStyle w:val="27"/>
          <w:rFonts w:eastAsia="黑体"/>
        </w:rPr>
        <w:fldChar w:fldCharType="begin"/>
      </w:r>
      <w:r>
        <w:rPr>
          <w:rStyle w:val="27"/>
          <w:rFonts w:eastAsia="黑体"/>
        </w:rPr>
        <w:instrText xml:space="preserve"> PAGEREF _Toc97033803 \h </w:instrText>
      </w:r>
      <w:r>
        <w:rPr>
          <w:rStyle w:val="27"/>
          <w:rFonts w:eastAsia="黑体"/>
        </w:rPr>
        <w:fldChar w:fldCharType="separate"/>
      </w:r>
      <w:r>
        <w:rPr>
          <w:rStyle w:val="27"/>
          <w:rFonts w:eastAsia="黑体"/>
        </w:rPr>
        <w:t>53</w:t>
      </w:r>
      <w:r>
        <w:rPr>
          <w:rStyle w:val="27"/>
          <w:rFonts w:eastAsia="黑体"/>
        </w:rPr>
        <w:fldChar w:fldCharType="end"/>
      </w:r>
      <w:r>
        <w:rPr>
          <w:rStyle w:val="27"/>
          <w:rFonts w:eastAsia="黑体"/>
        </w:rPr>
        <w:fldChar w:fldCharType="end"/>
      </w:r>
    </w:p>
    <w:p w14:paraId="2B0A6348">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"_Toc97033804" </w:instrText>
      </w:r>
      <w:r>
        <w:fldChar w:fldCharType="separate"/>
      </w:r>
      <w:r>
        <w:rPr>
          <w:rStyle w:val="27"/>
          <w:rFonts w:eastAsia="宋体"/>
          <w:sz w:val="28"/>
          <w:szCs w:val="28"/>
        </w:rPr>
        <w:t>（一）加强党的领导</w:t>
      </w:r>
      <w:r>
        <w:rPr>
          <w:rFonts w:eastAsia="宋体"/>
          <w:sz w:val="28"/>
          <w:szCs w:val="28"/>
        </w:rPr>
        <w:tab/>
      </w:r>
      <w:r>
        <w:rPr>
          <w:rFonts w:eastAsia="宋体"/>
          <w:sz w:val="28"/>
          <w:szCs w:val="28"/>
        </w:rPr>
        <w:fldChar w:fldCharType="begin"/>
      </w:r>
      <w:r>
        <w:rPr>
          <w:rFonts w:eastAsia="宋体"/>
          <w:sz w:val="28"/>
          <w:szCs w:val="28"/>
        </w:rPr>
        <w:instrText xml:space="preserve"> PAGEREF _Toc97033804 \h </w:instrText>
      </w:r>
      <w:r>
        <w:rPr>
          <w:rFonts w:eastAsia="宋体"/>
          <w:sz w:val="28"/>
          <w:szCs w:val="28"/>
        </w:rPr>
        <w:fldChar w:fldCharType="separate"/>
      </w:r>
      <w:r>
        <w:rPr>
          <w:rFonts w:eastAsia="宋体"/>
          <w:sz w:val="28"/>
          <w:szCs w:val="28"/>
        </w:rPr>
        <w:t>53</w:t>
      </w:r>
      <w:r>
        <w:rPr>
          <w:rFonts w:eastAsia="宋体"/>
          <w:sz w:val="28"/>
          <w:szCs w:val="28"/>
        </w:rPr>
        <w:fldChar w:fldCharType="end"/>
      </w:r>
      <w:r>
        <w:rPr>
          <w:rFonts w:eastAsia="宋体"/>
          <w:sz w:val="28"/>
          <w:szCs w:val="28"/>
        </w:rPr>
        <w:fldChar w:fldCharType="end"/>
      </w:r>
    </w:p>
    <w:p w14:paraId="6606867B">
      <w:pPr>
        <w:pStyle w:val="14"/>
        <w:tabs>
          <w:tab w:val="right" w:leader="dot" w:pos="8296"/>
        </w:tabs>
        <w:spacing w:line="520" w:lineRule="exact"/>
        <w:ind w:left="0" w:leftChars="0" w:firstLine="927" w:firstLineChars="297"/>
        <w:rPr>
          <w:rFonts w:eastAsia="宋体"/>
          <w:sz w:val="28"/>
          <w:szCs w:val="28"/>
        </w:rPr>
      </w:pPr>
      <w:r>
        <w:fldChar w:fldCharType="begin"/>
      </w:r>
      <w:r>
        <w:instrText xml:space="preserve"> HYPERLINK \l "_Toc97033805" </w:instrText>
      </w:r>
      <w:r>
        <w:fldChar w:fldCharType="separate"/>
      </w:r>
      <w:r>
        <w:rPr>
          <w:rStyle w:val="27"/>
          <w:rFonts w:eastAsia="宋体"/>
          <w:sz w:val="28"/>
          <w:szCs w:val="28"/>
        </w:rPr>
        <w:t>（二）扩大有效投资</w:t>
      </w:r>
      <w:r>
        <w:rPr>
          <w:rFonts w:eastAsia="宋体"/>
          <w:sz w:val="28"/>
          <w:szCs w:val="28"/>
        </w:rPr>
        <w:tab/>
      </w:r>
      <w:r>
        <w:rPr>
          <w:rFonts w:eastAsia="宋体"/>
          <w:sz w:val="28"/>
          <w:szCs w:val="28"/>
        </w:rPr>
        <w:fldChar w:fldCharType="begin"/>
      </w:r>
      <w:r>
        <w:rPr>
          <w:rFonts w:eastAsia="宋体"/>
          <w:sz w:val="28"/>
          <w:szCs w:val="28"/>
        </w:rPr>
        <w:instrText xml:space="preserve"> PAGEREF _Toc97033805 \h </w:instrText>
      </w:r>
      <w:r>
        <w:rPr>
          <w:rFonts w:eastAsia="宋体"/>
          <w:sz w:val="28"/>
          <w:szCs w:val="28"/>
        </w:rPr>
        <w:fldChar w:fldCharType="separate"/>
      </w:r>
      <w:r>
        <w:rPr>
          <w:rFonts w:eastAsia="宋体"/>
          <w:sz w:val="28"/>
          <w:szCs w:val="28"/>
        </w:rPr>
        <w:t>53</w:t>
      </w:r>
      <w:r>
        <w:rPr>
          <w:rFonts w:eastAsia="宋体"/>
          <w:sz w:val="28"/>
          <w:szCs w:val="28"/>
        </w:rPr>
        <w:fldChar w:fldCharType="end"/>
      </w:r>
      <w:r>
        <w:rPr>
          <w:rFonts w:eastAsia="宋体"/>
          <w:sz w:val="28"/>
          <w:szCs w:val="28"/>
        </w:rPr>
        <w:fldChar w:fldCharType="end"/>
      </w:r>
    </w:p>
    <w:p w14:paraId="09AEF82A">
      <w:pPr>
        <w:pStyle w:val="14"/>
        <w:tabs>
          <w:tab w:val="right" w:leader="dot" w:pos="8296"/>
        </w:tabs>
        <w:spacing w:line="520" w:lineRule="exact"/>
        <w:ind w:left="0" w:leftChars="0" w:firstLine="927" w:firstLineChars="297"/>
        <w:rPr>
          <w:rFonts w:eastAsia="宋体"/>
          <w:sz w:val="28"/>
          <w:szCs w:val="28"/>
        </w:rPr>
      </w:pPr>
      <w:r>
        <w:fldChar w:fldCharType="begin"/>
      </w:r>
      <w:r>
        <w:instrText xml:space="preserve"> HYPERLINK \l "_Toc97033806" </w:instrText>
      </w:r>
      <w:r>
        <w:fldChar w:fldCharType="separate"/>
      </w:r>
      <w:r>
        <w:rPr>
          <w:rStyle w:val="27"/>
          <w:rFonts w:eastAsia="宋体"/>
          <w:sz w:val="28"/>
          <w:szCs w:val="28"/>
        </w:rPr>
        <w:t>（三）强化“双招双引”</w:t>
      </w:r>
      <w:r>
        <w:rPr>
          <w:rFonts w:eastAsia="宋体"/>
          <w:sz w:val="28"/>
          <w:szCs w:val="28"/>
        </w:rPr>
        <w:tab/>
      </w:r>
      <w:r>
        <w:rPr>
          <w:rFonts w:eastAsia="宋体"/>
          <w:sz w:val="28"/>
          <w:szCs w:val="28"/>
        </w:rPr>
        <w:fldChar w:fldCharType="begin"/>
      </w:r>
      <w:r>
        <w:rPr>
          <w:rFonts w:eastAsia="宋体"/>
          <w:sz w:val="28"/>
          <w:szCs w:val="28"/>
        </w:rPr>
        <w:instrText xml:space="preserve"> PAGEREF _Toc97033806 \h </w:instrText>
      </w:r>
      <w:r>
        <w:rPr>
          <w:rFonts w:eastAsia="宋体"/>
          <w:sz w:val="28"/>
          <w:szCs w:val="28"/>
        </w:rPr>
        <w:fldChar w:fldCharType="separate"/>
      </w:r>
      <w:r>
        <w:rPr>
          <w:rFonts w:eastAsia="宋体"/>
          <w:sz w:val="28"/>
          <w:szCs w:val="28"/>
        </w:rPr>
        <w:t>54</w:t>
      </w:r>
      <w:r>
        <w:rPr>
          <w:rFonts w:eastAsia="宋体"/>
          <w:sz w:val="28"/>
          <w:szCs w:val="28"/>
        </w:rPr>
        <w:fldChar w:fldCharType="end"/>
      </w:r>
      <w:r>
        <w:rPr>
          <w:rFonts w:eastAsia="宋体"/>
          <w:sz w:val="28"/>
          <w:szCs w:val="28"/>
        </w:rPr>
        <w:fldChar w:fldCharType="end"/>
      </w:r>
    </w:p>
    <w:p w14:paraId="2DA43B5C">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"_Toc97033807" </w:instrText>
      </w:r>
      <w:r>
        <w:fldChar w:fldCharType="separate"/>
      </w:r>
      <w:r>
        <w:rPr>
          <w:rStyle w:val="27"/>
          <w:rFonts w:eastAsia="宋体"/>
          <w:sz w:val="28"/>
          <w:szCs w:val="28"/>
        </w:rPr>
        <w:t>（四）强化用地保障</w:t>
      </w:r>
      <w:r>
        <w:rPr>
          <w:rFonts w:eastAsia="宋体"/>
          <w:sz w:val="28"/>
          <w:szCs w:val="28"/>
        </w:rPr>
        <w:tab/>
      </w:r>
      <w:r>
        <w:rPr>
          <w:rFonts w:eastAsia="宋体"/>
          <w:sz w:val="28"/>
          <w:szCs w:val="28"/>
        </w:rPr>
        <w:fldChar w:fldCharType="begin"/>
      </w:r>
      <w:r>
        <w:rPr>
          <w:rFonts w:eastAsia="宋体"/>
          <w:sz w:val="28"/>
          <w:szCs w:val="28"/>
        </w:rPr>
        <w:instrText xml:space="preserve"> PAGEREF _Toc97033807 \h </w:instrText>
      </w:r>
      <w:r>
        <w:rPr>
          <w:rFonts w:eastAsia="宋体"/>
          <w:sz w:val="28"/>
          <w:szCs w:val="28"/>
        </w:rPr>
        <w:fldChar w:fldCharType="separate"/>
      </w:r>
      <w:r>
        <w:rPr>
          <w:rFonts w:eastAsia="宋体"/>
          <w:sz w:val="28"/>
          <w:szCs w:val="28"/>
        </w:rPr>
        <w:t>54</w:t>
      </w:r>
      <w:r>
        <w:rPr>
          <w:rFonts w:eastAsia="宋体"/>
          <w:sz w:val="28"/>
          <w:szCs w:val="28"/>
        </w:rPr>
        <w:fldChar w:fldCharType="end"/>
      </w:r>
      <w:r>
        <w:rPr>
          <w:rFonts w:eastAsia="宋体"/>
          <w:sz w:val="28"/>
          <w:szCs w:val="28"/>
        </w:rPr>
        <w:fldChar w:fldCharType="end"/>
      </w:r>
    </w:p>
    <w:p w14:paraId="4EB0DA4B">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"_Toc97033808" </w:instrText>
      </w:r>
      <w:r>
        <w:fldChar w:fldCharType="separate"/>
      </w:r>
      <w:r>
        <w:rPr>
          <w:rStyle w:val="27"/>
          <w:rFonts w:eastAsia="宋体"/>
          <w:sz w:val="28"/>
          <w:szCs w:val="28"/>
        </w:rPr>
        <w:t>（五）健全法</w:t>
      </w:r>
      <w:r>
        <w:rPr>
          <w:rStyle w:val="27"/>
          <w:rFonts w:hint="eastAsia" w:eastAsia="宋体"/>
          <w:sz w:val="28"/>
          <w:szCs w:val="28"/>
          <w:lang w:val="en-US" w:eastAsia="zh-CN"/>
        </w:rPr>
        <w:t>制</w:t>
      </w:r>
      <w:r>
        <w:rPr>
          <w:rStyle w:val="27"/>
          <w:rFonts w:eastAsia="宋体"/>
          <w:sz w:val="28"/>
          <w:szCs w:val="28"/>
        </w:rPr>
        <w:t>保障</w:t>
      </w:r>
      <w:r>
        <w:rPr>
          <w:rFonts w:eastAsia="宋体"/>
          <w:sz w:val="28"/>
          <w:szCs w:val="28"/>
        </w:rPr>
        <w:tab/>
      </w:r>
      <w:r>
        <w:rPr>
          <w:rFonts w:eastAsia="宋体"/>
          <w:sz w:val="28"/>
          <w:szCs w:val="28"/>
        </w:rPr>
        <w:fldChar w:fldCharType="begin"/>
      </w:r>
      <w:r>
        <w:rPr>
          <w:rFonts w:eastAsia="宋体"/>
          <w:sz w:val="28"/>
          <w:szCs w:val="28"/>
        </w:rPr>
        <w:instrText xml:space="preserve"> PAGEREF _Toc97033808 \h </w:instrText>
      </w:r>
      <w:r>
        <w:rPr>
          <w:rFonts w:eastAsia="宋体"/>
          <w:sz w:val="28"/>
          <w:szCs w:val="28"/>
        </w:rPr>
        <w:fldChar w:fldCharType="separate"/>
      </w:r>
      <w:r>
        <w:rPr>
          <w:rFonts w:eastAsia="宋体"/>
          <w:sz w:val="28"/>
          <w:szCs w:val="28"/>
        </w:rPr>
        <w:t>55</w:t>
      </w:r>
      <w:r>
        <w:rPr>
          <w:rFonts w:eastAsia="宋体"/>
          <w:sz w:val="28"/>
          <w:szCs w:val="28"/>
        </w:rPr>
        <w:fldChar w:fldCharType="end"/>
      </w:r>
      <w:r>
        <w:rPr>
          <w:rFonts w:eastAsia="宋体"/>
          <w:sz w:val="28"/>
          <w:szCs w:val="28"/>
        </w:rPr>
        <w:fldChar w:fldCharType="end"/>
      </w:r>
    </w:p>
    <w:p w14:paraId="44457F58">
      <w:pPr>
        <w:pStyle w:val="14"/>
        <w:tabs>
          <w:tab w:val="right" w:leader="dot" w:pos="8296"/>
        </w:tabs>
        <w:spacing w:line="520" w:lineRule="exact"/>
        <w:ind w:left="0" w:leftChars="0" w:firstLine="933" w:firstLineChars="299"/>
        <w:rPr>
          <w:rFonts w:eastAsia="宋体"/>
          <w:sz w:val="28"/>
          <w:szCs w:val="28"/>
        </w:rPr>
      </w:pPr>
      <w:r>
        <w:fldChar w:fldCharType="begin"/>
      </w:r>
      <w:r>
        <w:instrText xml:space="preserve"> HYPERLINK \l "_Toc97033809" </w:instrText>
      </w:r>
      <w:r>
        <w:fldChar w:fldCharType="separate"/>
      </w:r>
      <w:r>
        <w:rPr>
          <w:rStyle w:val="27"/>
          <w:rFonts w:eastAsia="宋体"/>
          <w:sz w:val="28"/>
          <w:szCs w:val="28"/>
        </w:rPr>
        <w:t>（六）加强考核评估</w:t>
      </w:r>
      <w:r>
        <w:rPr>
          <w:rFonts w:eastAsia="宋体"/>
          <w:sz w:val="28"/>
          <w:szCs w:val="28"/>
        </w:rPr>
        <w:tab/>
      </w:r>
      <w:r>
        <w:rPr>
          <w:rFonts w:eastAsia="宋体"/>
          <w:sz w:val="28"/>
          <w:szCs w:val="28"/>
        </w:rPr>
        <w:fldChar w:fldCharType="begin"/>
      </w:r>
      <w:r>
        <w:rPr>
          <w:rFonts w:eastAsia="宋体"/>
          <w:sz w:val="28"/>
          <w:szCs w:val="28"/>
        </w:rPr>
        <w:instrText xml:space="preserve"> PAGEREF _Toc97033809 \h </w:instrText>
      </w:r>
      <w:r>
        <w:rPr>
          <w:rFonts w:eastAsia="宋体"/>
          <w:sz w:val="28"/>
          <w:szCs w:val="28"/>
        </w:rPr>
        <w:fldChar w:fldCharType="separate"/>
      </w:r>
      <w:r>
        <w:rPr>
          <w:rFonts w:eastAsia="宋体"/>
          <w:sz w:val="28"/>
          <w:szCs w:val="28"/>
        </w:rPr>
        <w:t>55</w:t>
      </w:r>
      <w:r>
        <w:rPr>
          <w:rFonts w:eastAsia="宋体"/>
          <w:sz w:val="28"/>
          <w:szCs w:val="28"/>
        </w:rPr>
        <w:fldChar w:fldCharType="end"/>
      </w:r>
      <w:r>
        <w:rPr>
          <w:rFonts w:eastAsia="宋体"/>
          <w:sz w:val="28"/>
          <w:szCs w:val="28"/>
        </w:rPr>
        <w:fldChar w:fldCharType="end"/>
      </w:r>
    </w:p>
    <w:p w14:paraId="4EA496DB">
      <w:pPr>
        <w:spacing w:line="480" w:lineRule="exact"/>
        <w:sectPr>
          <w:pgSz w:w="11906" w:h="16838"/>
          <w:pgMar w:top="2098" w:right="1588" w:bottom="1588" w:left="1588" w:header="1134" w:footer="1134" w:gutter="0"/>
          <w:pgNumType w:fmt="upperRoman" w:start="1"/>
          <w:cols w:space="720" w:num="1"/>
          <w:docGrid w:type="linesAndChars" w:linePitch="597" w:charSpace="-1683"/>
        </w:sectPr>
      </w:pPr>
      <w:r>
        <w:rPr>
          <w:szCs w:val="28"/>
        </w:rPr>
        <w:fldChar w:fldCharType="end"/>
      </w:r>
    </w:p>
    <w:p w14:paraId="28873CC2">
      <w:pPr>
        <w:ind w:firstLine="544" w:firstLineChars="200"/>
        <w:rPr>
          <w:kern w:val="0"/>
          <w:szCs w:val="28"/>
        </w:rPr>
      </w:pPr>
      <w:bookmarkStart w:id="2" w:name="_Toc13839"/>
      <w:bookmarkStart w:id="3" w:name="_Toc24130"/>
      <w:bookmarkStart w:id="4" w:name="_Toc27837"/>
      <w:bookmarkStart w:id="5" w:name="_Toc15378"/>
      <w:bookmarkStart w:id="6" w:name="_Toc32599"/>
      <w:bookmarkStart w:id="7" w:name="_Toc12874"/>
      <w:bookmarkStart w:id="8" w:name="_Toc19487"/>
      <w:bookmarkStart w:id="9" w:name="_Toc29476"/>
      <w:bookmarkStart w:id="10" w:name="_Toc5304"/>
      <w:bookmarkStart w:id="11" w:name="_Toc12569"/>
      <w:bookmarkStart w:id="12" w:name="_Toc14259"/>
      <w:bookmarkStart w:id="13" w:name="_Toc3390"/>
      <w:r>
        <w:rPr>
          <w:kern w:val="0"/>
          <w:szCs w:val="28"/>
        </w:rPr>
        <w:t>民族要复兴，乡村必振兴。稳住农业基本盘、守好“三农”基础是应变局、开新局的压舱石。“十四五”时期扎实推进农业农村现代化，对服务和融入新发展格局，聚力建设新阶段现代化美好裕安，具有特殊重要意义。为全面推进乡村振兴，加快裕安区农业农村现代化，依据全国《“十四五”推进农业农村现代化规划》《安徽省“十四五”农业农村现代化规划》《中共裕安区委关于制定国民经济和社会发展第十四个五年规划的建议》和《裕安区国民经济和社会发展第十四个五年规划纲要》，编制本规划。</w:t>
      </w:r>
    </w:p>
    <w:bookmarkEnd w:id="2"/>
    <w:bookmarkEnd w:id="3"/>
    <w:bookmarkEnd w:id="4"/>
    <w:bookmarkEnd w:id="5"/>
    <w:bookmarkEnd w:id="6"/>
    <w:bookmarkEnd w:id="7"/>
    <w:bookmarkEnd w:id="8"/>
    <w:bookmarkEnd w:id="9"/>
    <w:bookmarkEnd w:id="10"/>
    <w:bookmarkEnd w:id="11"/>
    <w:bookmarkEnd w:id="12"/>
    <w:bookmarkEnd w:id="13"/>
    <w:p w14:paraId="06BD6DE8">
      <w:pPr>
        <w:pStyle w:val="2"/>
        <w:spacing w:beforeLines="50" w:beforeAutospacing="0" w:afterLines="50" w:afterAutospacing="0"/>
        <w:jc w:val="center"/>
        <w:rPr>
          <w:rFonts w:ascii="Times New Roman" w:hAnsi="Times New Roman" w:eastAsia="方正小标宋简体"/>
          <w:b w:val="0"/>
          <w:sz w:val="36"/>
          <w:szCs w:val="36"/>
        </w:rPr>
      </w:pPr>
      <w:bookmarkStart w:id="14" w:name="_Toc8963"/>
      <w:bookmarkStart w:id="15" w:name="_Toc3653"/>
      <w:bookmarkStart w:id="16" w:name="_Toc16129"/>
      <w:bookmarkStart w:id="17" w:name="_Toc23797"/>
      <w:bookmarkStart w:id="18" w:name="_Toc27767"/>
      <w:bookmarkStart w:id="19" w:name="_Toc16822"/>
      <w:bookmarkStart w:id="20" w:name="_Toc28207"/>
      <w:bookmarkStart w:id="21" w:name="_Toc19993"/>
      <w:bookmarkStart w:id="22" w:name="_Toc19585"/>
      <w:bookmarkStart w:id="23" w:name="_Toc97033739"/>
      <w:r>
        <w:rPr>
          <w:rFonts w:ascii="Times New Roman" w:hAnsi="Times New Roman" w:eastAsia="方正小标宋简体"/>
          <w:b w:val="0"/>
          <w:sz w:val="36"/>
          <w:szCs w:val="36"/>
        </w:rPr>
        <w:t>一、规划背景</w:t>
      </w:r>
      <w:bookmarkEnd w:id="14"/>
      <w:bookmarkEnd w:id="15"/>
      <w:bookmarkEnd w:id="16"/>
      <w:bookmarkEnd w:id="17"/>
      <w:bookmarkEnd w:id="18"/>
      <w:bookmarkEnd w:id="19"/>
      <w:bookmarkEnd w:id="20"/>
      <w:bookmarkEnd w:id="21"/>
      <w:bookmarkEnd w:id="22"/>
      <w:bookmarkEnd w:id="23"/>
    </w:p>
    <w:p w14:paraId="78FB71E8">
      <w:pPr>
        <w:ind w:firstLine="640"/>
        <w:rPr>
          <w:kern w:val="0"/>
          <w:szCs w:val="28"/>
        </w:rPr>
      </w:pPr>
      <w:r>
        <w:rPr>
          <w:kern w:val="0"/>
          <w:szCs w:val="28"/>
        </w:rPr>
        <w:t>“十三五”以来，在以习近平同志为核心的党中央坚强领导下，全区上下认真贯彻落实党中央、国务院和省委、省政府、市委、市政府关于“三农”工作的决策部署，坚持新发展理念，以实施乡村振兴战略为总抓手，以农业农村优先发展为总方针，以农业供给侧结构性改革为主线，扎实推动农业农村高质量发展，不断深化农村改革，全区农业农村经济保持稳中有进、稳中向好的发展态势。</w:t>
      </w:r>
    </w:p>
    <w:p w14:paraId="59CF0E8D">
      <w:pPr>
        <w:pStyle w:val="3"/>
        <w:spacing w:beforeLines="50" w:afterLines="50" w:line="240" w:lineRule="auto"/>
        <w:ind w:firstLine="641"/>
        <w:jc w:val="left"/>
        <w:rPr>
          <w:rFonts w:ascii="Times New Roman" w:hAnsi="Times New Roman"/>
          <w:b w:val="0"/>
          <w:sz w:val="30"/>
          <w:szCs w:val="30"/>
        </w:rPr>
      </w:pPr>
      <w:bookmarkStart w:id="24" w:name="_Toc26296"/>
      <w:bookmarkStart w:id="25" w:name="_Toc27172"/>
      <w:bookmarkStart w:id="26" w:name="_Toc30995"/>
      <w:bookmarkStart w:id="27" w:name="_Toc3805"/>
      <w:bookmarkStart w:id="28" w:name="_Toc6157"/>
      <w:bookmarkStart w:id="29" w:name="_Toc30037"/>
      <w:bookmarkStart w:id="30" w:name="_Toc97033740"/>
      <w:r>
        <w:rPr>
          <w:rFonts w:ascii="Times New Roman" w:hAnsi="Times New Roman"/>
          <w:b w:val="0"/>
          <w:sz w:val="30"/>
          <w:szCs w:val="30"/>
        </w:rPr>
        <w:t>（一）“十三五”裕安区农业农村发展成就</w:t>
      </w:r>
      <w:bookmarkEnd w:id="24"/>
      <w:bookmarkEnd w:id="25"/>
      <w:bookmarkEnd w:id="26"/>
      <w:bookmarkEnd w:id="27"/>
      <w:bookmarkEnd w:id="28"/>
      <w:bookmarkEnd w:id="29"/>
      <w:bookmarkEnd w:id="30"/>
    </w:p>
    <w:p w14:paraId="4986BED4">
      <w:pPr>
        <w:ind w:firstLine="533" w:firstLineChars="196"/>
        <w:rPr>
          <w:szCs w:val="28"/>
        </w:rPr>
      </w:pPr>
      <w:r>
        <w:rPr>
          <w:rFonts w:eastAsia="楷体_GB2312"/>
          <w:b/>
          <w:bCs/>
          <w:szCs w:val="28"/>
        </w:rPr>
        <w:t>决战脱贫攻坚取得全面胜利。</w:t>
      </w:r>
      <w:r>
        <w:rPr>
          <w:szCs w:val="28"/>
        </w:rPr>
        <w:t>扎实推进精准扶贫、精准脱贫，高质量完成脱贫攻坚目标任务，全区建档立卡贫困户5.4万户、13.7万人全部脱贫，75个贫困村全部出列，顺利实现脱贫摘帽。首创涉农资金整合“七步工作法”、扶贫项目库“裕安模式”、产业保险扶贫“深贫保”等工作模式，经验得到全省推广。2020年全区农村居民人均可支配收入达到15521元，较2019年增长9.0%，农民群众获得感、</w:t>
      </w:r>
      <w:r>
        <w:rPr>
          <w:rFonts w:hint="eastAsia"/>
          <w:szCs w:val="28"/>
          <w:lang w:val="en-US" w:eastAsia="zh-CN"/>
        </w:rPr>
        <w:t>幸福感</w:t>
      </w:r>
      <w:r>
        <w:rPr>
          <w:rFonts w:hint="eastAsia"/>
          <w:szCs w:val="28"/>
          <w:lang w:eastAsia="zh-CN"/>
        </w:rPr>
        <w:t>、</w:t>
      </w:r>
      <w:r>
        <w:rPr>
          <w:szCs w:val="28"/>
        </w:rPr>
        <w:t>安全感不断提升。</w:t>
      </w:r>
    </w:p>
    <w:p w14:paraId="599CC4BE">
      <w:pPr>
        <w:ind w:firstLine="533" w:firstLineChars="196"/>
        <w:rPr>
          <w:szCs w:val="28"/>
        </w:rPr>
      </w:pPr>
      <w:r>
        <w:rPr>
          <w:rFonts w:eastAsia="楷体_GB2312"/>
          <w:b/>
          <w:bCs/>
          <w:szCs w:val="28"/>
        </w:rPr>
        <w:t>粮食及重要农产品生产迈上新台阶。</w:t>
      </w:r>
      <w:r>
        <w:rPr>
          <w:szCs w:val="28"/>
        </w:rPr>
        <w:t>接连克服百年未遇新冠肺炎疫情和百年未有的特大洪涝灾害双重影响，全区粮食播种面积、产量保持双稳定。2020年，全区粮食播种面积116.5万亩，粮食综合生产能力44.9万吨，茶叶、蔬菜、肉类、禽蛋、奶和水产品总产量分别达0.8万吨、73.9万吨、8.2万吨、1.33万吨、0.7万吨和2.8万吨，特色农业产业规模不断壮大、质量效益持续提升。重要农产品供给稳定，为全区经济发展和社会稳定发挥了“压舱石”作用。</w:t>
      </w:r>
    </w:p>
    <w:p w14:paraId="7D022C2A">
      <w:pPr>
        <w:ind w:firstLine="533" w:firstLineChars="196"/>
        <w:rPr>
          <w:szCs w:val="28"/>
        </w:rPr>
      </w:pPr>
      <w:r>
        <w:rPr>
          <w:rFonts w:eastAsia="楷体_GB2312"/>
          <w:b/>
          <w:bCs/>
          <w:szCs w:val="28"/>
        </w:rPr>
        <w:t>农业物质技术装备水平稳步提升。</w:t>
      </w:r>
      <w:r>
        <w:rPr>
          <w:szCs w:val="28"/>
        </w:rPr>
        <w:t>深入实施“藏粮于地、藏粮于技”战略，持续推进农业基础设施建设，划定粮食生产功能区77万亩、重要农产品生产保护区23.5万亩，累计建成高标准农田60万亩，全区主要农作物耕种收综合机械化率达86%，主要农作物良种覆盖率达到99%以上，农业科技进步贡献率达62.7%。</w:t>
      </w:r>
    </w:p>
    <w:p w14:paraId="35D04F49">
      <w:pPr>
        <w:ind w:firstLine="533" w:firstLineChars="196"/>
        <w:rPr>
          <w:szCs w:val="28"/>
        </w:rPr>
      </w:pPr>
      <w:r>
        <w:rPr>
          <w:rFonts w:eastAsia="楷体_GB2312"/>
          <w:b/>
          <w:bCs/>
          <w:szCs w:val="28"/>
        </w:rPr>
        <w:t>富民乡村产业加速发展。</w:t>
      </w:r>
      <w:r>
        <w:rPr>
          <w:szCs w:val="28"/>
        </w:rPr>
        <w:t>以“138+N”工程为抓手，深入推进农产品加工业“五个一批”工程和“158”行动计划，累计创建省级现代农业园1个，农产品加工业产值突破75亿元。农村电子商务、乡村休闲旅游等新产业、新业态蓬勃发展，创建省级休闲农业与乡村旅游示范园1个、市级休闲农业示范园区1个，2020年全区农产品网络销售额22.4亿元，休闲农业与乡村旅游年营业收入超10亿元。</w:t>
      </w:r>
    </w:p>
    <w:p w14:paraId="2D673E4F">
      <w:pPr>
        <w:ind w:firstLine="533" w:firstLineChars="196"/>
        <w:rPr>
          <w:szCs w:val="28"/>
        </w:rPr>
      </w:pPr>
      <w:r>
        <w:rPr>
          <w:rFonts w:eastAsia="楷体_GB2312"/>
          <w:b/>
          <w:bCs/>
          <w:szCs w:val="28"/>
        </w:rPr>
        <w:t>农业绿色发展深入推进。</w:t>
      </w:r>
      <w:r>
        <w:rPr>
          <w:szCs w:val="28"/>
        </w:rPr>
        <w:t>大力实施化肥农药“零增长”行动，化肥、农药连续5年实现“双降”。实施省级畜禽粪污资源化利用整区推进项目，规模养殖场粪污治理设施配套率达到100%，畜禽粪污综合利用率达到90%。深入推进农作物秸秆“五化”利用，全区主要农作物秸秆综合利用率达93%。持续加强“三品一标”培育，紧抓农产品质量安全监测管理，累计发展绿色食品、有机食品、地理标志农产品157个，农产品质量安全例行监测总体合格率保持98%以上。</w:t>
      </w:r>
    </w:p>
    <w:p w14:paraId="24460051">
      <w:pPr>
        <w:ind w:firstLine="533" w:firstLineChars="196"/>
        <w:rPr>
          <w:szCs w:val="28"/>
        </w:rPr>
      </w:pPr>
      <w:r>
        <w:rPr>
          <w:rFonts w:eastAsia="楷体_GB2312"/>
          <w:b/>
          <w:bCs/>
          <w:szCs w:val="28"/>
        </w:rPr>
        <w:t>新型农业经营主体多元发展。</w:t>
      </w:r>
      <w:r>
        <w:rPr>
          <w:szCs w:val="28"/>
        </w:rPr>
        <w:t>聚焦构建现代农业经营体系，大力发展农业产业化龙头企业，突出抓好家庭农场、合作社培育，持续抓好高素质新型职业农民培训。截至2020年底，全区有省级农业产业化龙头企业11家，</w:t>
      </w:r>
      <w:r>
        <w:rPr>
          <w:kern w:val="0"/>
          <w:szCs w:val="28"/>
        </w:rPr>
        <w:t>市级农业产业化龙头企业</w:t>
      </w:r>
      <w:r>
        <w:rPr>
          <w:szCs w:val="28"/>
        </w:rPr>
        <w:t>75</w:t>
      </w:r>
      <w:r>
        <w:rPr>
          <w:kern w:val="0"/>
          <w:szCs w:val="28"/>
        </w:rPr>
        <w:t>家，</w:t>
      </w:r>
      <w:r>
        <w:rPr>
          <w:szCs w:val="28"/>
        </w:rPr>
        <w:t>家庭农场1403家、农民专业合作社1420家。</w:t>
      </w:r>
    </w:p>
    <w:p w14:paraId="269EF7EF">
      <w:pPr>
        <w:ind w:firstLine="533" w:firstLineChars="196"/>
        <w:rPr>
          <w:szCs w:val="28"/>
        </w:rPr>
      </w:pPr>
      <w:r>
        <w:rPr>
          <w:rFonts w:eastAsia="楷体_GB2312"/>
          <w:b/>
          <w:bCs/>
          <w:szCs w:val="28"/>
        </w:rPr>
        <w:t>农村改革取得新突破。</w:t>
      </w:r>
      <w:r>
        <w:rPr>
          <w:szCs w:val="28"/>
        </w:rPr>
        <w:t>深入推进农村承包地“三权分置”改革，全面完成农村土地承包经营权确权登记颁证，确权成果在农业补贴、征地补偿、土地流转方面得到普遍应用。深入推进农村产权制度改革和“三变”改革，全区277个村（居）全部完成了农村集体资产清产核资工作，清理核实村级集体资产9.94亿元、集体土地总面积243.6万亩，在130个村开展了“三变”改革，培育发展集体经营性收入50万元以上的强村23个。林长制、湖长制改革全面推进，为“绿色青山”向“金山银山”转化奠定了坚实的制度基础。</w:t>
      </w:r>
    </w:p>
    <w:p w14:paraId="1BC9A55C">
      <w:pPr>
        <w:ind w:firstLine="533" w:firstLineChars="196"/>
        <w:rPr>
          <w:szCs w:val="28"/>
        </w:rPr>
      </w:pPr>
      <w:r>
        <w:rPr>
          <w:rFonts w:eastAsia="楷体_GB2312"/>
          <w:b/>
          <w:bCs/>
          <w:szCs w:val="28"/>
        </w:rPr>
        <w:t>乡村治理呈现新局面。</w:t>
      </w:r>
      <w:r>
        <w:rPr>
          <w:szCs w:val="28"/>
        </w:rPr>
        <w:t>基层党组织建设进一步加强，村级干部选拔、培养、监督、管理、考核等全流程制度体系完备。落实社会治安综合治理领导责任制，所有乡镇实现综治中心全覆盖，全面开展“一村（社区）一法律顾问”工作。强化村民自我管理、自我教育、自我服务、自我监督意识，形成新时代自治、法治、德治相结合的乡村治理模式。</w:t>
      </w:r>
    </w:p>
    <w:p w14:paraId="7F51845D">
      <w:pPr>
        <w:pStyle w:val="3"/>
        <w:spacing w:beforeLines="50" w:afterLines="50" w:line="240" w:lineRule="auto"/>
        <w:ind w:firstLine="641"/>
        <w:jc w:val="left"/>
        <w:rPr>
          <w:rFonts w:ascii="Times New Roman" w:hAnsi="Times New Roman"/>
          <w:b w:val="0"/>
          <w:sz w:val="30"/>
          <w:szCs w:val="30"/>
        </w:rPr>
      </w:pPr>
      <w:bookmarkStart w:id="31" w:name="_Toc15350"/>
      <w:bookmarkStart w:id="32" w:name="_Toc25430"/>
      <w:bookmarkStart w:id="33" w:name="_Toc7485"/>
      <w:bookmarkStart w:id="34" w:name="_Toc97033741"/>
      <w:bookmarkStart w:id="35" w:name="_Toc11873"/>
      <w:bookmarkStart w:id="36" w:name="_Toc22192"/>
      <w:r>
        <w:rPr>
          <w:rFonts w:ascii="Times New Roman" w:hAnsi="Times New Roman"/>
          <w:b w:val="0"/>
          <w:sz w:val="30"/>
          <w:szCs w:val="30"/>
        </w:rPr>
        <w:t>（二）“十四五”裕安区农业农村发展环境</w:t>
      </w:r>
      <w:bookmarkEnd w:id="31"/>
      <w:bookmarkEnd w:id="32"/>
      <w:bookmarkEnd w:id="33"/>
      <w:bookmarkEnd w:id="34"/>
      <w:bookmarkEnd w:id="35"/>
      <w:bookmarkEnd w:id="36"/>
    </w:p>
    <w:p w14:paraId="16BCFD4A">
      <w:pPr>
        <w:ind w:firstLine="544" w:firstLineChars="200"/>
        <w:rPr>
          <w:szCs w:val="28"/>
        </w:rPr>
      </w:pPr>
      <w:r>
        <w:rPr>
          <w:szCs w:val="28"/>
        </w:rPr>
        <w:t>当前和今后一个时期，裕安区将处于向生态友好型高质量绿色发展转型的关键阶段，区位优势、生态优势将更加凸显，战略机遇与诸多挑战并存。</w:t>
      </w:r>
    </w:p>
    <w:p w14:paraId="5AF8461B">
      <w:pPr>
        <w:ind w:firstLine="544" w:firstLineChars="200"/>
        <w:rPr>
          <w:szCs w:val="28"/>
        </w:rPr>
      </w:pPr>
      <w:r>
        <w:rPr>
          <w:bCs/>
          <w:szCs w:val="28"/>
        </w:rPr>
        <w:t>从国际看，</w:t>
      </w:r>
      <w:r>
        <w:rPr>
          <w:szCs w:val="28"/>
        </w:rPr>
        <w:t>当今世界正经历百年未有之大变局，新一轮科技革命和产业变革深入发展，国际力量对比深刻调整，和平与发展仍然是时代主题，人类命运共同体理念深入人心。同时，国际环境日趋复杂，不稳定性、不确定性明显增加，经济全球化趋势放缓，新冠肺炎疫情影响广泛深远。</w:t>
      </w:r>
    </w:p>
    <w:p w14:paraId="70E62F6B">
      <w:pPr>
        <w:ind w:firstLine="544" w:firstLineChars="200"/>
        <w:rPr>
          <w:szCs w:val="28"/>
        </w:rPr>
      </w:pPr>
      <w:r>
        <w:rPr>
          <w:bCs/>
          <w:szCs w:val="28"/>
        </w:rPr>
        <w:t>从国内看，</w:t>
      </w:r>
      <w:r>
        <w:rPr>
          <w:szCs w:val="28"/>
        </w:rPr>
        <w:t>我国已转向高质量发展阶段，开启全面建设社会主义现代化国家新征程，以国内大循环为主体、国内国际双循环相互促进的新发展格局加快形成，乡村振兴战略全面实施，创新驱动、区域协调等发展战略日趋深化，国内市场潜力逐步释放，绿色发展方式逐步转变。</w:t>
      </w:r>
    </w:p>
    <w:p w14:paraId="76BA3396">
      <w:pPr>
        <w:ind w:firstLine="544" w:firstLineChars="200"/>
        <w:rPr>
          <w:szCs w:val="28"/>
        </w:rPr>
      </w:pPr>
      <w:r>
        <w:rPr>
          <w:bCs/>
          <w:szCs w:val="28"/>
        </w:rPr>
        <w:t>从全省看，</w:t>
      </w:r>
      <w:r>
        <w:rPr>
          <w:szCs w:val="28"/>
        </w:rPr>
        <w:t>长三角高质量一体化、长江经济带发展、中部地区加快崛起等区域发展战略深入实施，有利于发挥安徽省左右逢源的区位优势，促进要素在更大范围集聚，产业在更大空间拓展，供需在更大市场对接，推动农业农村资源再配置、要素再激活、布局再优化。</w:t>
      </w:r>
    </w:p>
    <w:p w14:paraId="3C9E75C9">
      <w:pPr>
        <w:ind w:firstLine="544" w:firstLineChars="200"/>
        <w:rPr>
          <w:szCs w:val="28"/>
        </w:rPr>
      </w:pPr>
      <w:r>
        <w:rPr>
          <w:bCs/>
          <w:szCs w:val="28"/>
        </w:rPr>
        <w:t>从全市看，</w:t>
      </w:r>
      <w:r>
        <w:rPr>
          <w:szCs w:val="28"/>
        </w:rPr>
        <w:t>六安经济发展进入结构优化、动力转换、效益提升新阶段，绿色振兴战略持续实施，大别山革命老区高质量发展示范区等“一区四地一屏障”加快建设，正在全面融入长三角一体化和合肥都市圈同城化发展。</w:t>
      </w:r>
    </w:p>
    <w:p w14:paraId="6DD08B41">
      <w:pPr>
        <w:ind w:firstLine="544" w:firstLineChars="200"/>
        <w:rPr>
          <w:szCs w:val="28"/>
        </w:rPr>
      </w:pPr>
      <w:r>
        <w:rPr>
          <w:bCs/>
          <w:szCs w:val="28"/>
        </w:rPr>
        <w:t>从全区看，</w:t>
      </w:r>
      <w:r>
        <w:rPr>
          <w:szCs w:val="28"/>
        </w:rPr>
        <w:t>高质量打赢脱贫攻坚战为裕安区农业农村现代化建设奠定了坚实基础，合肥六安同城化加快推进，有助于发挥裕安区农业农村产业基础、市场腹地、人力资源、生态环境等比较优势和新型消费拉动作用，有助于推动农业农村潜力释放和价值拓展。</w:t>
      </w:r>
    </w:p>
    <w:p w14:paraId="3C36D3CD">
      <w:pPr>
        <w:ind w:firstLine="544" w:firstLineChars="200"/>
        <w:rPr>
          <w:szCs w:val="28"/>
        </w:rPr>
      </w:pPr>
      <w:bookmarkStart w:id="37" w:name="_Toc25368"/>
      <w:bookmarkStart w:id="38" w:name="_Toc29839"/>
      <w:bookmarkStart w:id="39" w:name="_Toc17320"/>
      <w:r>
        <w:rPr>
          <w:szCs w:val="28"/>
        </w:rPr>
        <w:t>同时，也要看到裕安区农业农村发展中不平衡不充分的问题仍然存在，</w:t>
      </w:r>
      <w:bookmarkEnd w:id="37"/>
      <w:bookmarkEnd w:id="38"/>
      <w:bookmarkEnd w:id="39"/>
      <w:r>
        <w:rPr>
          <w:szCs w:val="28"/>
        </w:rPr>
        <w:t>主要表现在：</w:t>
      </w:r>
      <w:r>
        <w:rPr>
          <w:bCs/>
          <w:szCs w:val="28"/>
        </w:rPr>
        <w:t>一是农业质量效益和竞争力亟待提升，</w:t>
      </w:r>
      <w:r>
        <w:rPr>
          <w:szCs w:val="28"/>
        </w:rPr>
        <w:t>农村劳动力外流严重，大宗农产品生产受自然条件约束仍然较大，乡村产业结构不优、融合不深，龙头企业带动能力不强，绿色优质产品供给不足，农业品牌杂而不亮，农产品精深加工和冷链物流仍是突出短板；</w:t>
      </w:r>
      <w:r>
        <w:rPr>
          <w:bCs/>
          <w:szCs w:val="28"/>
        </w:rPr>
        <w:t>二是资源环境硬约束持续趋紧，</w:t>
      </w:r>
      <w:r>
        <w:rPr>
          <w:szCs w:val="28"/>
        </w:rPr>
        <w:t>工业化、城镇化快速推进，耕地资源保护压力进一步加剧，农业面源污染防治压力仍然存在，统筹山水田林湖草系统保护和治理压力较大，农业绿色发展长效机制亟待健全完善；</w:t>
      </w:r>
      <w:r>
        <w:rPr>
          <w:bCs/>
          <w:szCs w:val="28"/>
        </w:rPr>
        <w:t>三是城乡融合发展体制机制亟待完善，</w:t>
      </w:r>
      <w:r>
        <w:rPr>
          <w:szCs w:val="28"/>
        </w:rPr>
        <w:t>城乡要素双向合理流动体制机制未完全形成，农村基础设施和基本公共服务仍是农业农村现代化的短板，乡村建设面临补上短板与提档升级的双重任务；</w:t>
      </w:r>
      <w:r>
        <w:rPr>
          <w:bCs/>
          <w:szCs w:val="28"/>
        </w:rPr>
        <w:t>四是农民持续增收难度增大，</w:t>
      </w:r>
      <w:r>
        <w:rPr>
          <w:szCs w:val="28"/>
        </w:rPr>
        <w:t>农业经营性收入面临成本“地板”和价格“天花板”的双重挤压，工资性收入遭遇新冠肺炎疫情和经济增速放缓的双重影响，转移性收入增长空间变窄，财产性收入渠道有待拓展，农村新业态、新模式发展不足，影响到农民持续增收。</w:t>
      </w:r>
    </w:p>
    <w:p w14:paraId="68A0394C">
      <w:pPr>
        <w:ind w:firstLine="640"/>
        <w:rPr>
          <w:szCs w:val="28"/>
        </w:rPr>
      </w:pPr>
      <w:r>
        <w:rPr>
          <w:szCs w:val="28"/>
        </w:rPr>
        <w:t>综合研判，“十四五”时期是裕安区农业农村现代化建设的关键时期，必须抓住机遇、迎接挑战，乘势而上、顺势而为，以更高的站位、更大的力度、更实的举措，努力推动农业全面升级、农村全面进步、农民全面发展，奋力开创“三农”工作新局面。</w:t>
      </w:r>
    </w:p>
    <w:p w14:paraId="63EECD54">
      <w:pPr>
        <w:ind w:firstLine="640"/>
        <w:rPr>
          <w:sz w:val="32"/>
          <w:szCs w:val="32"/>
        </w:rPr>
      </w:pPr>
    </w:p>
    <w:p w14:paraId="618DA160">
      <w:pPr>
        <w:pStyle w:val="2"/>
        <w:spacing w:before="0" w:beforeAutospacing="0" w:after="0" w:afterAutospacing="0" w:line="600" w:lineRule="exact"/>
        <w:jc w:val="center"/>
        <w:rPr>
          <w:rFonts w:ascii="Times New Roman" w:hAnsi="Times New Roman" w:eastAsia="方正小标宋简体"/>
          <w:b w:val="0"/>
          <w:sz w:val="36"/>
          <w:szCs w:val="36"/>
        </w:rPr>
      </w:pPr>
      <w:r>
        <w:rPr>
          <w:rFonts w:ascii="Times New Roman" w:hAnsi="Times New Roman"/>
        </w:rPr>
        <w:br w:type="page"/>
      </w:r>
      <w:bookmarkStart w:id="40" w:name="_Toc8638"/>
      <w:bookmarkStart w:id="41" w:name="_Toc97033742"/>
      <w:bookmarkStart w:id="42" w:name="_Toc14280"/>
      <w:bookmarkStart w:id="43" w:name="_Toc23182"/>
      <w:bookmarkStart w:id="44" w:name="_Toc27619"/>
      <w:bookmarkStart w:id="45" w:name="_Toc29136"/>
      <w:bookmarkStart w:id="46" w:name="_Toc32237"/>
      <w:bookmarkStart w:id="47" w:name="_Toc19559"/>
      <w:bookmarkStart w:id="48" w:name="_Toc25162"/>
      <w:bookmarkStart w:id="49" w:name="_Toc27891"/>
      <w:r>
        <w:rPr>
          <w:rFonts w:ascii="Times New Roman" w:hAnsi="Times New Roman" w:eastAsia="方正小标宋简体"/>
          <w:b w:val="0"/>
          <w:sz w:val="36"/>
          <w:szCs w:val="36"/>
        </w:rPr>
        <w:t>二、总体要求</w:t>
      </w:r>
      <w:bookmarkEnd w:id="40"/>
      <w:bookmarkEnd w:id="41"/>
      <w:bookmarkEnd w:id="42"/>
      <w:bookmarkEnd w:id="43"/>
      <w:bookmarkEnd w:id="44"/>
      <w:bookmarkEnd w:id="45"/>
      <w:bookmarkEnd w:id="46"/>
      <w:bookmarkEnd w:id="47"/>
      <w:bookmarkEnd w:id="48"/>
      <w:bookmarkEnd w:id="49"/>
    </w:p>
    <w:p w14:paraId="5E274DE5">
      <w:pPr>
        <w:pStyle w:val="3"/>
        <w:spacing w:beforeLines="50" w:afterLines="50" w:line="240" w:lineRule="auto"/>
        <w:ind w:firstLine="641"/>
        <w:jc w:val="left"/>
        <w:rPr>
          <w:rFonts w:ascii="Times New Roman" w:hAnsi="Times New Roman"/>
          <w:b w:val="0"/>
          <w:sz w:val="30"/>
          <w:szCs w:val="30"/>
        </w:rPr>
      </w:pPr>
      <w:bookmarkStart w:id="50" w:name="_Toc10901"/>
      <w:bookmarkStart w:id="51" w:name="_Toc17301"/>
      <w:bookmarkStart w:id="52" w:name="_Toc6227"/>
      <w:bookmarkStart w:id="53" w:name="_Toc8344"/>
      <w:bookmarkStart w:id="54" w:name="_Toc19093"/>
      <w:bookmarkStart w:id="55" w:name="_Toc16737"/>
      <w:bookmarkStart w:id="56" w:name="_Toc97033743"/>
      <w:bookmarkStart w:id="57" w:name="_Toc11794"/>
      <w:bookmarkStart w:id="58" w:name="_Toc8760"/>
      <w:bookmarkStart w:id="59" w:name="_Toc18642"/>
      <w:r>
        <w:rPr>
          <w:rFonts w:ascii="Times New Roman" w:hAnsi="Times New Roman"/>
          <w:b w:val="0"/>
          <w:sz w:val="30"/>
          <w:szCs w:val="30"/>
        </w:rPr>
        <w:t>（一）指导思想</w:t>
      </w:r>
      <w:bookmarkEnd w:id="50"/>
      <w:bookmarkEnd w:id="51"/>
      <w:bookmarkEnd w:id="52"/>
      <w:bookmarkEnd w:id="53"/>
      <w:bookmarkEnd w:id="54"/>
      <w:bookmarkEnd w:id="55"/>
      <w:bookmarkEnd w:id="56"/>
      <w:bookmarkEnd w:id="57"/>
      <w:bookmarkEnd w:id="58"/>
      <w:bookmarkEnd w:id="59"/>
    </w:p>
    <w:p w14:paraId="0838CABA">
      <w:pPr>
        <w:ind w:firstLine="640"/>
        <w:rPr>
          <w:szCs w:val="28"/>
        </w:rPr>
      </w:pPr>
      <w:bookmarkStart w:id="60" w:name="_Toc3648"/>
      <w:bookmarkStart w:id="61" w:name="_Toc17423"/>
      <w:bookmarkStart w:id="62" w:name="_Toc9384"/>
      <w:r>
        <w:rPr>
          <w:snapToGrid w:val="0"/>
          <w:kern w:val="0"/>
          <w:szCs w:val="28"/>
        </w:rPr>
        <w:t>以习近平新时代中国特色社会主义思想为指导，深入贯彻党的十九大和十九届二中、三中、四中、五中、六中全会精神，全面落实习近平总书记关于“三农”工作的重要论述和考察安徽重要讲话精神，全面贯彻省第十一次党代会精神，完整准确全面贯彻新发展理念，落实构建新发展格局要求，坚持加强党对“三农”工作的全面领导，坚持农业农村优先发展，以推动农业农村高质量发展为主题，以深化农业供给侧结构性改革为主线，以改革创新为根本动力，以满足人民群众日益增长的美好生活需要为根本目的，聚焦科技强农、机械强农，推进农业土地规模化、组织企业化、技术现代化、经营市场化、服务社会化，在“四化同步”的大格局下统筹推进乡村产业、人才、文化、生态、组织振兴，全面提升“一谷一带、一岭一库”四大农业绿色发展平台，</w:t>
      </w:r>
      <w:r>
        <w:rPr>
          <w:szCs w:val="28"/>
        </w:rPr>
        <w:t>大力推进农业特色产业“138＋N”工程，深入实施乡村建设行动，纵深推进农村集成改革，着力实现巩固拓展脱贫攻坚成果</w:t>
      </w:r>
      <w:r>
        <w:rPr>
          <w:rFonts w:hint="eastAsia"/>
          <w:szCs w:val="28"/>
          <w:lang w:val="en-US" w:eastAsia="zh-CN"/>
        </w:rPr>
        <w:t>同</w:t>
      </w:r>
      <w:r>
        <w:rPr>
          <w:szCs w:val="28"/>
        </w:rPr>
        <w:t>乡村振兴有效衔接，加快构建形成工农互促、城乡互补、协调发展、共同繁荣的新型工农城乡关系，努力将裕安区建设成为全省领先的城乡融合发展示范区、长三角重要的绿色农产品生产加工供应基地、全国知名的红色旅游和生态康养基地，为全区经济社会大局稳定提供坚强支撑，在构建新发展格局中体现更大作为，为加快建设新阶段现代化美好裕安作出新的更大贡献。</w:t>
      </w:r>
    </w:p>
    <w:bookmarkEnd w:id="60"/>
    <w:bookmarkEnd w:id="61"/>
    <w:bookmarkEnd w:id="62"/>
    <w:p w14:paraId="03777237">
      <w:pPr>
        <w:pStyle w:val="3"/>
        <w:spacing w:beforeLines="50" w:afterLines="50" w:line="240" w:lineRule="auto"/>
        <w:ind w:firstLine="641"/>
        <w:jc w:val="left"/>
        <w:rPr>
          <w:rFonts w:ascii="Times New Roman" w:hAnsi="Times New Roman"/>
          <w:b w:val="0"/>
          <w:sz w:val="30"/>
          <w:szCs w:val="30"/>
        </w:rPr>
      </w:pPr>
      <w:bookmarkStart w:id="63" w:name="_Toc97033744"/>
      <w:bookmarkStart w:id="64" w:name="_Toc26705"/>
      <w:bookmarkStart w:id="65" w:name="_Toc3492"/>
      <w:bookmarkStart w:id="66" w:name="_Toc6786"/>
      <w:bookmarkStart w:id="67" w:name="_Toc10402"/>
      <w:bookmarkStart w:id="68" w:name="_Toc22106"/>
      <w:r>
        <w:rPr>
          <w:rFonts w:ascii="Times New Roman" w:hAnsi="Times New Roman"/>
          <w:b w:val="0"/>
          <w:sz w:val="30"/>
          <w:szCs w:val="30"/>
        </w:rPr>
        <w:t>（二）基本原则</w:t>
      </w:r>
      <w:bookmarkEnd w:id="63"/>
      <w:bookmarkEnd w:id="64"/>
      <w:bookmarkEnd w:id="65"/>
      <w:bookmarkEnd w:id="66"/>
      <w:bookmarkEnd w:id="67"/>
      <w:bookmarkEnd w:id="68"/>
    </w:p>
    <w:p w14:paraId="19BFD706">
      <w:pPr>
        <w:ind w:firstLine="643"/>
        <w:rPr>
          <w:szCs w:val="28"/>
        </w:rPr>
      </w:pPr>
      <w:r>
        <w:rPr>
          <w:b/>
          <w:bCs/>
          <w:szCs w:val="28"/>
        </w:rPr>
        <w:t>——</w:t>
      </w:r>
      <w:r>
        <w:rPr>
          <w:rFonts w:eastAsia="楷体_GB2312"/>
          <w:b/>
          <w:bCs/>
          <w:szCs w:val="28"/>
        </w:rPr>
        <w:t>坚持加强党的全面领导。</w:t>
      </w:r>
      <w:r>
        <w:rPr>
          <w:szCs w:val="28"/>
        </w:rPr>
        <w:t>始终把解决好“三农”问题作为全党工作重中之重，坚持五级书记抓乡村振兴，确保党在农村工作中始终总揽全局、协调各方，为农业农村现代化发展提供坚强有力的政治保障。</w:t>
      </w:r>
    </w:p>
    <w:p w14:paraId="19F97CAC">
      <w:pPr>
        <w:ind w:firstLine="643"/>
        <w:rPr>
          <w:szCs w:val="28"/>
        </w:rPr>
      </w:pPr>
      <w:r>
        <w:rPr>
          <w:b/>
          <w:bCs/>
          <w:szCs w:val="28"/>
        </w:rPr>
        <w:t>——</w:t>
      </w:r>
      <w:r>
        <w:rPr>
          <w:rFonts w:eastAsia="楷体_GB2312"/>
          <w:b/>
          <w:bCs/>
          <w:szCs w:val="28"/>
        </w:rPr>
        <w:t>坚持服务和融入新发展格局。</w:t>
      </w:r>
      <w:r>
        <w:rPr>
          <w:szCs w:val="28"/>
        </w:rPr>
        <w:t>把新发展理念贯穿于中国特色农业农村现代化建设全过程，主动服务和积极融入国内大循环为主体、国内国际双循环相互促进的新发展格局。</w:t>
      </w:r>
    </w:p>
    <w:p w14:paraId="7A4420A6">
      <w:pPr>
        <w:ind w:firstLine="643"/>
        <w:rPr>
          <w:szCs w:val="28"/>
        </w:rPr>
      </w:pPr>
      <w:r>
        <w:rPr>
          <w:b/>
          <w:bCs/>
          <w:szCs w:val="28"/>
        </w:rPr>
        <w:t>——</w:t>
      </w:r>
      <w:r>
        <w:rPr>
          <w:rFonts w:eastAsia="楷体_GB2312"/>
          <w:b/>
          <w:bCs/>
          <w:szCs w:val="28"/>
        </w:rPr>
        <w:t>坚持农业农村优先发展。</w:t>
      </w:r>
      <w:r>
        <w:rPr>
          <w:szCs w:val="28"/>
        </w:rPr>
        <w:t>全面落实“四个优先”要求，在干部配备上优先考虑，在要素配置上优先满足，在资金投入上优先保障，在公共服务上优先安排，加快补上农业农村短板。</w:t>
      </w:r>
    </w:p>
    <w:p w14:paraId="6CCFC7CC">
      <w:pPr>
        <w:ind w:firstLine="643"/>
        <w:rPr>
          <w:szCs w:val="28"/>
        </w:rPr>
      </w:pPr>
      <w:r>
        <w:rPr>
          <w:b/>
          <w:bCs/>
          <w:szCs w:val="28"/>
        </w:rPr>
        <w:t>——</w:t>
      </w:r>
      <w:r>
        <w:rPr>
          <w:rFonts w:eastAsia="楷体_GB2312"/>
          <w:b/>
          <w:bCs/>
          <w:szCs w:val="28"/>
        </w:rPr>
        <w:t>坚持农民主体地位。</w:t>
      </w:r>
      <w:r>
        <w:rPr>
          <w:szCs w:val="28"/>
        </w:rPr>
        <w:t>尊重农民意愿，切实发挥农民在农业农村发展中的主体作用，积极调动广大农民的积极性、主动性、创造性，自觉维护农民群众的根本利益，促进农民持续增收和共同富裕，不断提升农民群众的获得感、幸福感和安全感。</w:t>
      </w:r>
    </w:p>
    <w:p w14:paraId="3FD57015">
      <w:pPr>
        <w:ind w:firstLine="643"/>
        <w:rPr>
          <w:szCs w:val="28"/>
        </w:rPr>
      </w:pPr>
      <w:r>
        <w:rPr>
          <w:b/>
          <w:bCs/>
          <w:szCs w:val="28"/>
        </w:rPr>
        <w:t>——</w:t>
      </w:r>
      <w:r>
        <w:rPr>
          <w:rFonts w:eastAsia="楷体_GB2312"/>
          <w:b/>
          <w:bCs/>
          <w:szCs w:val="28"/>
        </w:rPr>
        <w:t>坚持统筹发展和安全。</w:t>
      </w:r>
      <w:r>
        <w:rPr>
          <w:szCs w:val="28"/>
        </w:rPr>
        <w:t>强化安全意识，树立底线思维，充分发挥农业农村保供固安全、振兴畅循环的功能作用，防范和化解影响农业农村现代化进程的各种风险。</w:t>
      </w:r>
    </w:p>
    <w:p w14:paraId="6F092AAC">
      <w:pPr>
        <w:ind w:firstLine="643"/>
        <w:rPr>
          <w:szCs w:val="28"/>
        </w:rPr>
      </w:pPr>
      <w:r>
        <w:rPr>
          <w:b/>
          <w:bCs/>
          <w:szCs w:val="28"/>
        </w:rPr>
        <w:t>——</w:t>
      </w:r>
      <w:r>
        <w:rPr>
          <w:rFonts w:eastAsia="楷体_GB2312"/>
          <w:b/>
          <w:bCs/>
          <w:szCs w:val="28"/>
        </w:rPr>
        <w:t>坚持改革创新发展。</w:t>
      </w:r>
      <w:r>
        <w:rPr>
          <w:szCs w:val="28"/>
        </w:rPr>
        <w:t xml:space="preserve">坚持以更大力度推进新一轮农村改革，坚持创新是引领发展第一动力，加快推进农村重点领域和关键环节改革，破除制约城乡融合发展的体制机制障碍，为全面实施乡村振兴战略、加快农业农村现代化提供强大动能。 </w:t>
      </w:r>
    </w:p>
    <w:p w14:paraId="6A7523DD">
      <w:pPr>
        <w:ind w:firstLine="643"/>
        <w:rPr>
          <w:szCs w:val="28"/>
        </w:rPr>
      </w:pPr>
      <w:r>
        <w:rPr>
          <w:b/>
          <w:bCs/>
          <w:szCs w:val="28"/>
        </w:rPr>
        <w:t>——</w:t>
      </w:r>
      <w:r>
        <w:rPr>
          <w:rFonts w:eastAsia="楷体_GB2312"/>
          <w:b/>
          <w:bCs/>
          <w:szCs w:val="28"/>
        </w:rPr>
        <w:t>坚持乡村全面振兴。</w:t>
      </w:r>
      <w:r>
        <w:rPr>
          <w:szCs w:val="28"/>
        </w:rPr>
        <w:t>准确把握农业农村现代化的科学内涵，用好市场的逻辑、资本的力量，加强招商引资、招才引智，统筹谋划乡村产业振兴、生态振兴、文化振兴、组织振兴和人才振兴，注重协调性、关联性，整体部署，协调推进。</w:t>
      </w:r>
    </w:p>
    <w:p w14:paraId="781E86D7">
      <w:pPr>
        <w:pStyle w:val="3"/>
        <w:spacing w:beforeLines="50" w:afterLines="50" w:line="240" w:lineRule="auto"/>
        <w:ind w:firstLine="641"/>
        <w:jc w:val="left"/>
        <w:rPr>
          <w:rFonts w:ascii="Times New Roman" w:hAnsi="Times New Roman"/>
          <w:b w:val="0"/>
          <w:sz w:val="28"/>
          <w:szCs w:val="28"/>
        </w:rPr>
      </w:pPr>
      <w:bookmarkStart w:id="69" w:name="_Toc32275"/>
      <w:bookmarkStart w:id="70" w:name="_Toc2357"/>
      <w:bookmarkStart w:id="71" w:name="_Toc27751"/>
      <w:bookmarkStart w:id="72" w:name="_Toc97033745"/>
      <w:bookmarkStart w:id="73" w:name="_Toc10817"/>
      <w:bookmarkStart w:id="74" w:name="_Toc20450"/>
      <w:bookmarkStart w:id="75" w:name="_Toc12453"/>
      <w:bookmarkStart w:id="76" w:name="_Toc15554"/>
      <w:bookmarkStart w:id="77" w:name="_Toc27384"/>
      <w:r>
        <w:rPr>
          <w:rFonts w:ascii="Times New Roman" w:hAnsi="Times New Roman"/>
          <w:b w:val="0"/>
          <w:sz w:val="28"/>
          <w:szCs w:val="28"/>
        </w:rPr>
        <w:t>（三）发展目标</w:t>
      </w:r>
      <w:bookmarkEnd w:id="69"/>
      <w:bookmarkEnd w:id="70"/>
      <w:bookmarkEnd w:id="71"/>
      <w:bookmarkEnd w:id="72"/>
      <w:bookmarkEnd w:id="73"/>
      <w:bookmarkEnd w:id="74"/>
    </w:p>
    <w:p w14:paraId="1E9E9A2C">
      <w:pPr>
        <w:ind w:firstLine="643"/>
        <w:outlineLvl w:val="2"/>
        <w:rPr>
          <w:rFonts w:eastAsia="楷体_GB2312"/>
          <w:b/>
          <w:bCs/>
          <w:szCs w:val="28"/>
        </w:rPr>
      </w:pPr>
      <w:r>
        <w:rPr>
          <w:bCs/>
          <w:szCs w:val="28"/>
        </w:rPr>
        <w:t xml:space="preserve">1. </w:t>
      </w:r>
      <w:r>
        <w:rPr>
          <w:rFonts w:eastAsia="楷体_GB2312"/>
          <w:b/>
          <w:bCs/>
          <w:szCs w:val="28"/>
        </w:rPr>
        <w:t>总体目标</w:t>
      </w:r>
      <w:bookmarkEnd w:id="75"/>
      <w:bookmarkEnd w:id="76"/>
      <w:bookmarkEnd w:id="77"/>
    </w:p>
    <w:p w14:paraId="63A92EE0">
      <w:pPr>
        <w:ind w:firstLine="640"/>
        <w:rPr>
          <w:szCs w:val="28"/>
        </w:rPr>
      </w:pPr>
      <w:r>
        <w:rPr>
          <w:szCs w:val="28"/>
        </w:rPr>
        <w:t>到2025年，全区农业农村现代化建设取得阶段性成果：现代农业生产体系、产业体系、经营体系进一步健全完善，农业综合生产能力得到巩固加强，农业科技和装备支撑能力显著提升，农业绿色发展机制更加健全，优势特色农业全产业链发展快速推进，农业质量效益和竞争力显著提升；乡村建设行动取得显著成效，农村基础设施和基本公共服务短板基本补上，农村人居环境迈上新台阶，文明善治新乡村建设取得新进展；农村改革持续深化，城乡要素合理流动机制基本形成，统筹城乡融合发展迈出坚定步伐；巩固拓展脱贫攻坚成果同乡村振兴实现有效衔接，脱贫人口“两不愁、三保障”有效巩固，防止返贫动态监测和帮扶机制健全完善，有效筑牢确保不发生规模性返贫底线，农村相对贫困进一步缓解。</w:t>
      </w:r>
    </w:p>
    <w:p w14:paraId="7B1C20A1">
      <w:pPr>
        <w:ind w:firstLine="640"/>
        <w:rPr>
          <w:szCs w:val="28"/>
        </w:rPr>
      </w:pPr>
      <w:r>
        <w:rPr>
          <w:szCs w:val="28"/>
        </w:rPr>
        <w:t>展望2035年，农业农村现代化基本实现，农业现代化与新型工业化、信息化、城镇化协调同步，农业质量效益和竞争力迈上新台阶，绿色生产生活方式深入普及，宜居宜业美丽乡村基本建成，乡风文明达到新高度，乡村治理体系和治理能力现代化基本实现，城乡发展差距显著缩小，农民全面发展与共同富裕取得更为明显的实质性进展。</w:t>
      </w:r>
    </w:p>
    <w:p w14:paraId="6952EA34">
      <w:pPr>
        <w:ind w:firstLine="643"/>
        <w:outlineLvl w:val="2"/>
        <w:rPr>
          <w:b/>
          <w:bCs/>
          <w:szCs w:val="28"/>
        </w:rPr>
      </w:pPr>
      <w:bookmarkStart w:id="78" w:name="_Toc15219"/>
      <w:bookmarkStart w:id="79" w:name="_Toc32134"/>
      <w:bookmarkStart w:id="80" w:name="_Toc16008"/>
      <w:r>
        <w:rPr>
          <w:bCs/>
          <w:szCs w:val="28"/>
        </w:rPr>
        <w:t xml:space="preserve">2. </w:t>
      </w:r>
      <w:r>
        <w:rPr>
          <w:rFonts w:eastAsia="楷体_GB2312"/>
          <w:b/>
          <w:bCs/>
          <w:szCs w:val="28"/>
        </w:rPr>
        <w:t>具体</w:t>
      </w:r>
      <w:bookmarkEnd w:id="78"/>
      <w:bookmarkEnd w:id="79"/>
      <w:bookmarkEnd w:id="80"/>
      <w:r>
        <w:rPr>
          <w:rFonts w:eastAsia="楷体_GB2312"/>
          <w:b/>
          <w:bCs/>
          <w:szCs w:val="28"/>
        </w:rPr>
        <w:t>目标</w:t>
      </w:r>
    </w:p>
    <w:p w14:paraId="3AFCC8AA">
      <w:pPr>
        <w:ind w:firstLine="643"/>
        <w:rPr>
          <w:szCs w:val="28"/>
        </w:rPr>
      </w:pPr>
      <w:r>
        <w:rPr>
          <w:b/>
          <w:bCs/>
          <w:szCs w:val="28"/>
        </w:rPr>
        <w:t>——粮食等重要农产品供给更加稳定。</w:t>
      </w:r>
      <w:r>
        <w:rPr>
          <w:szCs w:val="28"/>
        </w:rPr>
        <w:t>到2025年，全区粮食总产能达到45万吨，生猪饲养量达到135万头，年出栏100万头，家禽饲养量达到2200万只，其中皖西白鹅饲养量达400万只，蔬菜、水果总产量增加到95万吨，水产品产量达到3.5万吨，茶园和油茶种植面积分别稳定在19万亩和13万亩左右。</w:t>
      </w:r>
    </w:p>
    <w:p w14:paraId="71856032">
      <w:pPr>
        <w:ind w:firstLine="643"/>
        <w:rPr>
          <w:szCs w:val="28"/>
        </w:rPr>
      </w:pPr>
      <w:r>
        <w:rPr>
          <w:b/>
          <w:bCs/>
          <w:szCs w:val="28"/>
        </w:rPr>
        <w:t>——现代农业生产体系显著提升。</w:t>
      </w:r>
      <w:r>
        <w:rPr>
          <w:szCs w:val="28"/>
        </w:rPr>
        <w:t>到2025年，建成高标准农田85万亩，农田有效灌溉面积占比达到88%，建成全程农事服务中心20家以上，主要农作物耕种收综合机械化率达到90%，数字农业、现代种业取得突出进展，农业科技进步贡献率达到67.5%。</w:t>
      </w:r>
    </w:p>
    <w:p w14:paraId="4A619444">
      <w:pPr>
        <w:ind w:firstLine="643"/>
        <w:rPr>
          <w:szCs w:val="28"/>
        </w:rPr>
      </w:pPr>
      <w:r>
        <w:rPr>
          <w:b/>
          <w:bCs/>
          <w:szCs w:val="28"/>
        </w:rPr>
        <w:t>——现代乡村产业体系明显优化。</w:t>
      </w:r>
      <w:r>
        <w:rPr>
          <w:szCs w:val="28"/>
        </w:rPr>
        <w:t>到2025年，全区农产品加工业营业收入突破200亿元，农产品加工业与农业总产值比达到2.8：1，乡村休闲旅游业年接待旅游人次达到375万人次、年营业收入达到14亿元，农产品网络销售额达到50亿元，基本实现特色优势农业产业集群引领现代农业产业园、产业强镇、特色小镇、“一村一品”协同推进的格局。</w:t>
      </w:r>
    </w:p>
    <w:p w14:paraId="386CDB0F">
      <w:pPr>
        <w:ind w:firstLine="643"/>
        <w:rPr>
          <w:szCs w:val="28"/>
        </w:rPr>
      </w:pPr>
      <w:r>
        <w:rPr>
          <w:b/>
          <w:bCs/>
          <w:szCs w:val="28"/>
        </w:rPr>
        <w:t>——现代农业经营体系持续完善。</w:t>
      </w:r>
      <w:r>
        <w:rPr>
          <w:szCs w:val="28"/>
        </w:rPr>
        <w:t>到2025年，全区农业产业化龙头企业达到120家，其中省级以上农业产业化龙头企业达到15家；农民合作社总数达到1550家，新培育示范合作社30家；家庭农场总数达到1750家，新培育示范家庭农场30家；农业产业化联合体达到20个。</w:t>
      </w:r>
    </w:p>
    <w:p w14:paraId="4C46AA18">
      <w:pPr>
        <w:ind w:firstLine="643"/>
        <w:rPr>
          <w:szCs w:val="28"/>
        </w:rPr>
      </w:pPr>
      <w:r>
        <w:rPr>
          <w:b/>
          <w:bCs/>
          <w:szCs w:val="28"/>
        </w:rPr>
        <w:t>——农业绿色发展水平显著提高。</w:t>
      </w:r>
      <w:r>
        <w:rPr>
          <w:szCs w:val="28"/>
        </w:rPr>
        <w:t>到2025年，农业绿色生产方式广泛形成，主要农作物秸秆综合利用率达到93%以上，畜禽粪污综合利用率达到93%以上，农药、化肥投入继续保持负增长；全区农产品品牌总量突破120个，“三品一标”农产认证产品总量达到160个；农产品例行抽检合格率稳定在98%以上。</w:t>
      </w:r>
    </w:p>
    <w:p w14:paraId="47F55EB0">
      <w:pPr>
        <w:ind w:firstLine="643"/>
        <w:rPr>
          <w:szCs w:val="28"/>
        </w:rPr>
      </w:pPr>
      <w:r>
        <w:rPr>
          <w:b/>
          <w:bCs/>
          <w:szCs w:val="28"/>
        </w:rPr>
        <w:t>——农村“双基”建设更加完善。</w:t>
      </w:r>
      <w:r>
        <w:rPr>
          <w:szCs w:val="28"/>
        </w:rPr>
        <w:t>到2025年，全区村庄规划管理、美丽乡村中心村建设实现全覆盖，农村生活污水处理率达到省市相关要求，农村自来水普及率达到95%，农村卫生厕所普及率达到85%，农村社区服务站实现全覆盖，管理服务能力进一步提升。</w:t>
      </w:r>
    </w:p>
    <w:p w14:paraId="60FBDEC1">
      <w:pPr>
        <w:ind w:firstLine="643"/>
        <w:rPr>
          <w:szCs w:val="28"/>
        </w:rPr>
      </w:pPr>
      <w:r>
        <w:rPr>
          <w:b/>
          <w:bCs/>
          <w:szCs w:val="28"/>
        </w:rPr>
        <w:t>——农民收入持续增加。</w:t>
      </w:r>
      <w:r>
        <w:rPr>
          <w:szCs w:val="28"/>
        </w:rPr>
        <w:t>到2025年，全区集体经济强村达到41个，占比达到15%；农村常住居民人均可支配收入达到24300元，年均增长9.4%以上。</w:t>
      </w:r>
    </w:p>
    <w:p w14:paraId="1DF018A5">
      <w:pPr>
        <w:pStyle w:val="3"/>
        <w:spacing w:beforeLines="50" w:afterLines="50" w:line="240" w:lineRule="auto"/>
        <w:ind w:firstLine="641"/>
        <w:jc w:val="left"/>
        <w:rPr>
          <w:rFonts w:ascii="Times New Roman" w:hAnsi="Times New Roman"/>
          <w:b w:val="0"/>
          <w:sz w:val="30"/>
          <w:szCs w:val="30"/>
        </w:rPr>
      </w:pPr>
      <w:bookmarkStart w:id="81" w:name="_Toc90398697"/>
      <w:bookmarkStart w:id="82" w:name="_Toc11680"/>
      <w:bookmarkStart w:id="83" w:name="_Toc26537"/>
      <w:bookmarkStart w:id="84" w:name="_Toc30302"/>
      <w:bookmarkStart w:id="85" w:name="_Toc97033746"/>
      <w:r>
        <w:rPr>
          <w:rFonts w:ascii="Times New Roman" w:hAnsi="Times New Roman"/>
          <w:b w:val="0"/>
          <w:sz w:val="30"/>
          <w:szCs w:val="30"/>
        </w:rPr>
        <w:t>（四）基本路径</w:t>
      </w:r>
      <w:bookmarkEnd w:id="81"/>
      <w:bookmarkEnd w:id="82"/>
      <w:bookmarkEnd w:id="83"/>
      <w:bookmarkEnd w:id="84"/>
      <w:bookmarkEnd w:id="85"/>
    </w:p>
    <w:p w14:paraId="367A8CC9">
      <w:pPr>
        <w:ind w:firstLine="640"/>
        <w:rPr>
          <w:szCs w:val="28"/>
        </w:rPr>
      </w:pPr>
      <w:r>
        <w:rPr>
          <w:szCs w:val="28"/>
        </w:rPr>
        <w:t>按“五化”战略路径，推进农业农村现代化。</w:t>
      </w:r>
    </w:p>
    <w:p w14:paraId="357F39E8">
      <w:pPr>
        <w:ind w:firstLine="643"/>
        <w:rPr>
          <w:szCs w:val="28"/>
        </w:rPr>
      </w:pPr>
      <w:r>
        <w:rPr>
          <w:b/>
          <w:bCs/>
          <w:szCs w:val="28"/>
        </w:rPr>
        <w:t>——土地规模化。</w:t>
      </w:r>
      <w:r>
        <w:rPr>
          <w:szCs w:val="28"/>
        </w:rPr>
        <w:t>突出土地规模化的载体功能，坚持农场化经营方向，发挥市场在农村土地资源配置中的决定性作用，深化土地产权制度改革，放大“一块田”改革效应，大力发展家庭农场，示范推广新型股份合作农场，不断丰富土地规模化经营的有效实现形式。</w:t>
      </w:r>
    </w:p>
    <w:p w14:paraId="548AAADE">
      <w:pPr>
        <w:ind w:firstLine="643"/>
        <w:rPr>
          <w:szCs w:val="28"/>
        </w:rPr>
      </w:pPr>
      <w:r>
        <w:rPr>
          <w:b/>
          <w:bCs/>
          <w:szCs w:val="28"/>
        </w:rPr>
        <w:t>——组织企业化。</w:t>
      </w:r>
      <w:r>
        <w:rPr>
          <w:szCs w:val="28"/>
        </w:rPr>
        <w:t>激发组织企业化的主体力量，运用合伙人思维，积极有序引导工商资本下乡兴业，推动新型农业经营主体高质量发展，加快培育链主型龙头企业和农业头部企业，组建一批利益紧密联结、共营共享的农业产业化联合体，探索发展农村混合所有制经济，在更高水平上加快农业生产组织企业化进程。</w:t>
      </w:r>
    </w:p>
    <w:p w14:paraId="3FD3E057">
      <w:pPr>
        <w:ind w:firstLine="643"/>
        <w:rPr>
          <w:szCs w:val="28"/>
        </w:rPr>
      </w:pPr>
      <w:r>
        <w:rPr>
          <w:b/>
          <w:bCs/>
          <w:szCs w:val="28"/>
        </w:rPr>
        <w:t>——技术现代化。</w:t>
      </w:r>
      <w:r>
        <w:rPr>
          <w:szCs w:val="28"/>
        </w:rPr>
        <w:t>强化技术现代化的驱动作用，深入实施科技强农、机械强农、增加农民收入“两强一增”行动计划，加强农业科技原始创新、集成创新和应用创新，构建开放协同科技创新体系，健全农业科技成果转移转化机制，完善农业科技推广服务模式。</w:t>
      </w:r>
    </w:p>
    <w:p w14:paraId="0C1237F3">
      <w:pPr>
        <w:ind w:firstLine="643"/>
        <w:rPr>
          <w:szCs w:val="28"/>
        </w:rPr>
      </w:pPr>
      <w:r>
        <w:rPr>
          <w:b/>
          <w:bCs/>
          <w:szCs w:val="28"/>
        </w:rPr>
        <w:t>——经营市场化。</w:t>
      </w:r>
      <w:r>
        <w:rPr>
          <w:szCs w:val="28"/>
        </w:rPr>
        <w:t>激活经营市场化的内源动力，顺应消费结构升级趋势，推动以市场促进流通、以消费引导生产，加快完善农产品流通网络，补齐冷链设施短板，培育壮大农业经纪人队伍，打造“徽派”高端农业品牌，搭建产销对接合作平台，建设立足长三角、面向国内大中城市的精准高效农业市场体系。</w:t>
      </w:r>
    </w:p>
    <w:p w14:paraId="29D4EADB">
      <w:pPr>
        <w:ind w:firstLine="643"/>
        <w:rPr>
          <w:szCs w:val="28"/>
        </w:rPr>
      </w:pPr>
      <w:r>
        <w:rPr>
          <w:b/>
          <w:bCs/>
          <w:szCs w:val="28"/>
        </w:rPr>
        <w:t>——服务社会化。</w:t>
      </w:r>
      <w:r>
        <w:rPr>
          <w:szCs w:val="28"/>
        </w:rPr>
        <w:t>激发服务社会化的发展活力，促进服务主体联合、服务资源整合、服务链条融合，发展农业专业化社会化服务主体，培育壮大服务联盟，推广农业生产“大托管”模式，构建全程覆盖、便捷高效、综合配套的新型农业社会化服务体系，促进小农户与现代农业发展实现有效衔接。</w:t>
      </w:r>
    </w:p>
    <w:tbl>
      <w:tblPr>
        <w:tblStyle w:val="20"/>
        <w:tblW w:w="8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8"/>
        <w:gridCol w:w="518"/>
        <w:gridCol w:w="3907"/>
        <w:gridCol w:w="881"/>
        <w:gridCol w:w="952"/>
        <w:gridCol w:w="966"/>
        <w:gridCol w:w="1059"/>
      </w:tblGrid>
      <w:tr w14:paraId="0DB67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blHeader/>
          <w:jc w:val="center"/>
        </w:trPr>
        <w:tc>
          <w:tcPr>
            <w:tcW w:w="8871" w:type="dxa"/>
            <w:gridSpan w:val="7"/>
            <w:noWrap/>
            <w:vAlign w:val="center"/>
          </w:tcPr>
          <w:p w14:paraId="1604334F">
            <w:pPr>
              <w:pStyle w:val="3"/>
              <w:spacing w:before="0" w:after="0" w:line="240" w:lineRule="auto"/>
              <w:jc w:val="center"/>
              <w:rPr>
                <w:rFonts w:ascii="Times New Roman" w:hAnsi="Times New Roman"/>
                <w:sz w:val="28"/>
                <w:szCs w:val="28"/>
              </w:rPr>
            </w:pPr>
            <w:bookmarkStart w:id="86" w:name="_Toc19252"/>
            <w:bookmarkStart w:id="87" w:name="_Toc15816"/>
            <w:bookmarkStart w:id="88" w:name="_Toc20483"/>
            <w:bookmarkStart w:id="89" w:name="_Toc24040"/>
            <w:bookmarkStart w:id="90" w:name="_Toc31844"/>
            <w:bookmarkStart w:id="91" w:name="_Toc21978"/>
            <w:bookmarkStart w:id="92" w:name="_Toc97033747"/>
            <w:r>
              <w:rPr>
                <w:rFonts w:ascii="Times New Roman" w:hAnsi="Times New Roman"/>
                <w:sz w:val="28"/>
                <w:szCs w:val="28"/>
              </w:rPr>
              <w:t>专栏1 裕安区“十四五”农业农村现代化指标</w:t>
            </w:r>
            <w:bookmarkEnd w:id="86"/>
            <w:bookmarkEnd w:id="87"/>
            <w:bookmarkEnd w:id="88"/>
            <w:bookmarkEnd w:id="89"/>
            <w:bookmarkEnd w:id="90"/>
            <w:bookmarkEnd w:id="91"/>
            <w:bookmarkEnd w:id="92"/>
          </w:p>
        </w:tc>
      </w:tr>
      <w:tr w14:paraId="1DDF4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588" w:type="dxa"/>
            <w:noWrap/>
            <w:vAlign w:val="center"/>
          </w:tcPr>
          <w:p w14:paraId="2964AB3D">
            <w:pPr>
              <w:widowControl/>
              <w:spacing w:line="400" w:lineRule="exact"/>
              <w:jc w:val="center"/>
              <w:rPr>
                <w:kern w:val="0"/>
                <w:sz w:val="24"/>
              </w:rPr>
            </w:pPr>
            <w:r>
              <w:rPr>
                <w:kern w:val="0"/>
                <w:sz w:val="24"/>
              </w:rPr>
              <w:t>类别</w:t>
            </w:r>
          </w:p>
        </w:tc>
        <w:tc>
          <w:tcPr>
            <w:tcW w:w="518" w:type="dxa"/>
            <w:noWrap/>
            <w:vAlign w:val="center"/>
          </w:tcPr>
          <w:p w14:paraId="7CDDF69D">
            <w:pPr>
              <w:widowControl/>
              <w:spacing w:line="400" w:lineRule="exact"/>
              <w:jc w:val="center"/>
              <w:rPr>
                <w:kern w:val="0"/>
                <w:sz w:val="24"/>
              </w:rPr>
            </w:pPr>
            <w:r>
              <w:rPr>
                <w:kern w:val="0"/>
                <w:sz w:val="24"/>
              </w:rPr>
              <w:t>序号</w:t>
            </w:r>
          </w:p>
        </w:tc>
        <w:tc>
          <w:tcPr>
            <w:tcW w:w="3907" w:type="dxa"/>
            <w:noWrap/>
            <w:vAlign w:val="center"/>
          </w:tcPr>
          <w:p w14:paraId="2D58B4F8">
            <w:pPr>
              <w:widowControl/>
              <w:spacing w:line="400" w:lineRule="exact"/>
              <w:jc w:val="center"/>
              <w:rPr>
                <w:kern w:val="0"/>
                <w:sz w:val="24"/>
              </w:rPr>
            </w:pPr>
            <w:r>
              <w:rPr>
                <w:kern w:val="0"/>
                <w:sz w:val="24"/>
              </w:rPr>
              <w:t xml:space="preserve">指  标 </w:t>
            </w:r>
          </w:p>
        </w:tc>
        <w:tc>
          <w:tcPr>
            <w:tcW w:w="881" w:type="dxa"/>
            <w:noWrap/>
            <w:vAlign w:val="center"/>
          </w:tcPr>
          <w:p w14:paraId="1A11D6BA">
            <w:pPr>
              <w:widowControl/>
              <w:spacing w:line="300" w:lineRule="exact"/>
              <w:jc w:val="center"/>
              <w:rPr>
                <w:kern w:val="0"/>
                <w:sz w:val="24"/>
              </w:rPr>
            </w:pPr>
            <w:r>
              <w:rPr>
                <w:kern w:val="0"/>
                <w:sz w:val="24"/>
              </w:rPr>
              <w:t xml:space="preserve">2020年 </w:t>
            </w:r>
          </w:p>
          <w:p w14:paraId="782D2C5F">
            <w:pPr>
              <w:widowControl/>
              <w:spacing w:line="300" w:lineRule="exact"/>
              <w:jc w:val="center"/>
              <w:rPr>
                <w:kern w:val="0"/>
                <w:sz w:val="24"/>
              </w:rPr>
            </w:pPr>
            <w:r>
              <w:rPr>
                <w:kern w:val="0"/>
                <w:sz w:val="24"/>
              </w:rPr>
              <w:t xml:space="preserve">基期值 </w:t>
            </w:r>
          </w:p>
        </w:tc>
        <w:tc>
          <w:tcPr>
            <w:tcW w:w="952" w:type="dxa"/>
            <w:noWrap/>
            <w:vAlign w:val="center"/>
          </w:tcPr>
          <w:p w14:paraId="21614AA1">
            <w:pPr>
              <w:widowControl/>
              <w:spacing w:line="300" w:lineRule="exact"/>
              <w:jc w:val="center"/>
              <w:rPr>
                <w:kern w:val="0"/>
                <w:sz w:val="24"/>
              </w:rPr>
            </w:pPr>
            <w:r>
              <w:rPr>
                <w:kern w:val="0"/>
                <w:sz w:val="24"/>
              </w:rPr>
              <w:t xml:space="preserve">2025年 </w:t>
            </w:r>
          </w:p>
          <w:p w14:paraId="6244C833">
            <w:pPr>
              <w:widowControl/>
              <w:spacing w:line="300" w:lineRule="exact"/>
              <w:jc w:val="center"/>
              <w:rPr>
                <w:kern w:val="0"/>
                <w:sz w:val="24"/>
              </w:rPr>
            </w:pPr>
            <w:r>
              <w:rPr>
                <w:kern w:val="0"/>
                <w:sz w:val="24"/>
              </w:rPr>
              <w:t>目标值</w:t>
            </w:r>
          </w:p>
        </w:tc>
        <w:tc>
          <w:tcPr>
            <w:tcW w:w="966" w:type="dxa"/>
            <w:noWrap/>
            <w:vAlign w:val="center"/>
          </w:tcPr>
          <w:p w14:paraId="62101B82">
            <w:pPr>
              <w:widowControl/>
              <w:spacing w:line="300" w:lineRule="exact"/>
              <w:jc w:val="center"/>
              <w:rPr>
                <w:kern w:val="0"/>
                <w:sz w:val="24"/>
              </w:rPr>
            </w:pPr>
            <w:r>
              <w:rPr>
                <w:kern w:val="0"/>
                <w:sz w:val="24"/>
              </w:rPr>
              <w:t xml:space="preserve">年均增长 </w:t>
            </w:r>
          </w:p>
          <w:p w14:paraId="0ACC6D2F">
            <w:pPr>
              <w:widowControl/>
              <w:spacing w:line="300" w:lineRule="exact"/>
              <w:jc w:val="center"/>
              <w:rPr>
                <w:kern w:val="0"/>
                <w:sz w:val="24"/>
              </w:rPr>
            </w:pPr>
            <w:r>
              <w:rPr>
                <w:kern w:val="0"/>
                <w:sz w:val="24"/>
              </w:rPr>
              <w:t xml:space="preserve">[累计] </w:t>
            </w:r>
          </w:p>
        </w:tc>
        <w:tc>
          <w:tcPr>
            <w:tcW w:w="1059" w:type="dxa"/>
            <w:noWrap/>
            <w:vAlign w:val="center"/>
          </w:tcPr>
          <w:p w14:paraId="73884EC1">
            <w:pPr>
              <w:widowControl/>
              <w:spacing w:line="300" w:lineRule="exact"/>
              <w:jc w:val="center"/>
              <w:rPr>
                <w:kern w:val="0"/>
                <w:sz w:val="24"/>
              </w:rPr>
            </w:pPr>
            <w:r>
              <w:rPr>
                <w:kern w:val="0"/>
                <w:sz w:val="24"/>
              </w:rPr>
              <w:t>指标</w:t>
            </w:r>
          </w:p>
          <w:p w14:paraId="21CB365D">
            <w:pPr>
              <w:widowControl/>
              <w:spacing w:line="300" w:lineRule="exact"/>
              <w:jc w:val="center"/>
              <w:rPr>
                <w:kern w:val="0"/>
                <w:sz w:val="24"/>
              </w:rPr>
            </w:pPr>
            <w:r>
              <w:rPr>
                <w:kern w:val="0"/>
                <w:sz w:val="24"/>
              </w:rPr>
              <w:t xml:space="preserve">属性 </w:t>
            </w:r>
          </w:p>
        </w:tc>
      </w:tr>
      <w:tr w14:paraId="576A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restart"/>
            <w:noWrap/>
            <w:vAlign w:val="center"/>
          </w:tcPr>
          <w:p w14:paraId="6D3F25D9">
            <w:pPr>
              <w:widowControl/>
              <w:spacing w:line="400" w:lineRule="exact"/>
              <w:jc w:val="center"/>
              <w:rPr>
                <w:kern w:val="0"/>
                <w:sz w:val="24"/>
              </w:rPr>
            </w:pPr>
            <w:r>
              <w:rPr>
                <w:kern w:val="0"/>
                <w:sz w:val="24"/>
              </w:rPr>
              <w:t>农业</w:t>
            </w:r>
          </w:p>
          <w:p w14:paraId="2AEEFA10">
            <w:pPr>
              <w:widowControl/>
              <w:spacing w:line="400" w:lineRule="exact"/>
              <w:jc w:val="center"/>
              <w:rPr>
                <w:kern w:val="0"/>
                <w:sz w:val="24"/>
              </w:rPr>
            </w:pPr>
            <w:r>
              <w:rPr>
                <w:kern w:val="0"/>
                <w:sz w:val="24"/>
              </w:rPr>
              <w:t>高质</w:t>
            </w:r>
          </w:p>
          <w:p w14:paraId="085092A8">
            <w:pPr>
              <w:widowControl/>
              <w:spacing w:line="400" w:lineRule="exact"/>
              <w:jc w:val="center"/>
              <w:rPr>
                <w:kern w:val="0"/>
                <w:sz w:val="24"/>
              </w:rPr>
            </w:pPr>
            <w:r>
              <w:rPr>
                <w:kern w:val="0"/>
                <w:sz w:val="24"/>
              </w:rPr>
              <w:t xml:space="preserve">高效 </w:t>
            </w:r>
          </w:p>
        </w:tc>
        <w:tc>
          <w:tcPr>
            <w:tcW w:w="518" w:type="dxa"/>
            <w:noWrap/>
            <w:vAlign w:val="center"/>
          </w:tcPr>
          <w:p w14:paraId="5E05BCA9">
            <w:pPr>
              <w:widowControl/>
              <w:spacing w:before="100" w:beforeAutospacing="1" w:after="100" w:afterAutospacing="1" w:line="400" w:lineRule="exact"/>
              <w:jc w:val="center"/>
              <w:rPr>
                <w:kern w:val="0"/>
                <w:sz w:val="24"/>
              </w:rPr>
            </w:pPr>
            <w:r>
              <w:rPr>
                <w:kern w:val="0"/>
                <w:sz w:val="24"/>
              </w:rPr>
              <w:t>1</w:t>
            </w:r>
          </w:p>
        </w:tc>
        <w:tc>
          <w:tcPr>
            <w:tcW w:w="3907" w:type="dxa"/>
            <w:noWrap/>
            <w:vAlign w:val="center"/>
          </w:tcPr>
          <w:p w14:paraId="55D37377">
            <w:pPr>
              <w:widowControl/>
              <w:spacing w:before="100" w:beforeAutospacing="1" w:after="100" w:afterAutospacing="1" w:line="400" w:lineRule="exact"/>
              <w:jc w:val="left"/>
              <w:rPr>
                <w:kern w:val="0"/>
                <w:sz w:val="24"/>
              </w:rPr>
            </w:pPr>
            <w:r>
              <w:rPr>
                <w:kern w:val="0"/>
                <w:sz w:val="24"/>
              </w:rPr>
              <w:t>粮食播种面积（万亩）</w:t>
            </w:r>
          </w:p>
        </w:tc>
        <w:tc>
          <w:tcPr>
            <w:tcW w:w="881" w:type="dxa"/>
            <w:noWrap/>
            <w:vAlign w:val="center"/>
          </w:tcPr>
          <w:p w14:paraId="70F8CE8C">
            <w:pPr>
              <w:widowControl/>
              <w:spacing w:before="100" w:beforeAutospacing="1" w:after="100" w:afterAutospacing="1" w:line="400" w:lineRule="exact"/>
              <w:jc w:val="center"/>
              <w:rPr>
                <w:kern w:val="0"/>
                <w:sz w:val="24"/>
              </w:rPr>
            </w:pPr>
            <w:r>
              <w:rPr>
                <w:kern w:val="0"/>
                <w:sz w:val="24"/>
              </w:rPr>
              <w:t>116.5</w:t>
            </w:r>
          </w:p>
        </w:tc>
        <w:tc>
          <w:tcPr>
            <w:tcW w:w="952" w:type="dxa"/>
            <w:noWrap/>
            <w:vAlign w:val="center"/>
          </w:tcPr>
          <w:p w14:paraId="5F9222A3">
            <w:pPr>
              <w:widowControl/>
              <w:spacing w:before="100" w:beforeAutospacing="1" w:after="100" w:afterAutospacing="1" w:line="400" w:lineRule="exact"/>
              <w:jc w:val="center"/>
              <w:rPr>
                <w:kern w:val="0"/>
                <w:sz w:val="24"/>
              </w:rPr>
            </w:pPr>
            <w:r>
              <w:rPr>
                <w:kern w:val="0"/>
                <w:sz w:val="24"/>
              </w:rPr>
              <w:t>120</w:t>
            </w:r>
          </w:p>
        </w:tc>
        <w:tc>
          <w:tcPr>
            <w:tcW w:w="966" w:type="dxa"/>
            <w:noWrap/>
            <w:vAlign w:val="center"/>
          </w:tcPr>
          <w:p w14:paraId="44BCC3F4">
            <w:pPr>
              <w:widowControl/>
              <w:spacing w:before="100" w:beforeAutospacing="1" w:after="100" w:afterAutospacing="1" w:line="400" w:lineRule="exact"/>
              <w:jc w:val="center"/>
              <w:rPr>
                <w:kern w:val="0"/>
                <w:sz w:val="24"/>
              </w:rPr>
            </w:pPr>
            <w:r>
              <w:rPr>
                <w:kern w:val="0"/>
                <w:sz w:val="24"/>
              </w:rPr>
              <w:t>0.6%</w:t>
            </w:r>
          </w:p>
        </w:tc>
        <w:tc>
          <w:tcPr>
            <w:tcW w:w="1059" w:type="dxa"/>
            <w:noWrap/>
            <w:vAlign w:val="center"/>
          </w:tcPr>
          <w:p w14:paraId="7991D3B2">
            <w:pPr>
              <w:widowControl/>
              <w:spacing w:before="100" w:beforeAutospacing="1" w:after="100" w:afterAutospacing="1" w:line="400" w:lineRule="exact"/>
              <w:jc w:val="center"/>
              <w:rPr>
                <w:kern w:val="0"/>
                <w:sz w:val="24"/>
              </w:rPr>
            </w:pPr>
            <w:r>
              <w:rPr>
                <w:kern w:val="0"/>
                <w:sz w:val="24"/>
              </w:rPr>
              <w:t>预期性</w:t>
            </w:r>
          </w:p>
        </w:tc>
      </w:tr>
      <w:tr w14:paraId="2A08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66D55236">
            <w:pPr>
              <w:widowControl/>
              <w:spacing w:line="400" w:lineRule="exact"/>
              <w:jc w:val="center"/>
              <w:rPr>
                <w:kern w:val="0"/>
                <w:sz w:val="24"/>
              </w:rPr>
            </w:pPr>
          </w:p>
        </w:tc>
        <w:tc>
          <w:tcPr>
            <w:tcW w:w="518" w:type="dxa"/>
            <w:noWrap/>
            <w:vAlign w:val="center"/>
          </w:tcPr>
          <w:p w14:paraId="27CC675F">
            <w:pPr>
              <w:widowControl/>
              <w:spacing w:before="100" w:beforeAutospacing="1" w:after="100" w:afterAutospacing="1" w:line="400" w:lineRule="exact"/>
              <w:jc w:val="center"/>
              <w:rPr>
                <w:kern w:val="0"/>
                <w:sz w:val="24"/>
              </w:rPr>
            </w:pPr>
            <w:r>
              <w:rPr>
                <w:kern w:val="0"/>
                <w:sz w:val="24"/>
              </w:rPr>
              <w:t>2</w:t>
            </w:r>
          </w:p>
        </w:tc>
        <w:tc>
          <w:tcPr>
            <w:tcW w:w="3907" w:type="dxa"/>
            <w:noWrap/>
            <w:vAlign w:val="center"/>
          </w:tcPr>
          <w:p w14:paraId="4D7EA2AA">
            <w:pPr>
              <w:widowControl/>
              <w:spacing w:before="100" w:beforeAutospacing="1" w:after="100" w:afterAutospacing="1" w:line="400" w:lineRule="exact"/>
              <w:jc w:val="left"/>
              <w:rPr>
                <w:kern w:val="0"/>
                <w:sz w:val="24"/>
              </w:rPr>
            </w:pPr>
            <w:r>
              <w:rPr>
                <w:kern w:val="0"/>
                <w:sz w:val="24"/>
              </w:rPr>
              <w:t xml:space="preserve">粮食综合生产能力（万吨） </w:t>
            </w:r>
          </w:p>
        </w:tc>
        <w:tc>
          <w:tcPr>
            <w:tcW w:w="881" w:type="dxa"/>
            <w:noWrap/>
            <w:vAlign w:val="center"/>
          </w:tcPr>
          <w:p w14:paraId="3D956821">
            <w:pPr>
              <w:widowControl/>
              <w:spacing w:before="100" w:beforeAutospacing="1" w:after="100" w:afterAutospacing="1" w:line="400" w:lineRule="exact"/>
              <w:jc w:val="center"/>
              <w:rPr>
                <w:kern w:val="0"/>
                <w:sz w:val="24"/>
              </w:rPr>
            </w:pPr>
            <w:r>
              <w:rPr>
                <w:kern w:val="0"/>
                <w:sz w:val="24"/>
              </w:rPr>
              <w:t>44.9</w:t>
            </w:r>
          </w:p>
        </w:tc>
        <w:tc>
          <w:tcPr>
            <w:tcW w:w="952" w:type="dxa"/>
            <w:noWrap/>
            <w:vAlign w:val="center"/>
          </w:tcPr>
          <w:p w14:paraId="38CEBA18">
            <w:pPr>
              <w:widowControl/>
              <w:spacing w:before="100" w:beforeAutospacing="1" w:after="100" w:afterAutospacing="1" w:line="400" w:lineRule="exact"/>
              <w:jc w:val="center"/>
              <w:rPr>
                <w:kern w:val="0"/>
                <w:sz w:val="24"/>
              </w:rPr>
            </w:pPr>
            <w:r>
              <w:rPr>
                <w:kern w:val="0"/>
                <w:sz w:val="24"/>
              </w:rPr>
              <w:t>45</w:t>
            </w:r>
          </w:p>
        </w:tc>
        <w:tc>
          <w:tcPr>
            <w:tcW w:w="966" w:type="dxa"/>
            <w:noWrap/>
            <w:vAlign w:val="center"/>
          </w:tcPr>
          <w:p w14:paraId="058952F0">
            <w:pPr>
              <w:widowControl/>
              <w:spacing w:before="100" w:beforeAutospacing="1" w:after="100" w:afterAutospacing="1" w:line="400" w:lineRule="exact"/>
              <w:jc w:val="center"/>
              <w:rPr>
                <w:kern w:val="0"/>
                <w:sz w:val="24"/>
              </w:rPr>
            </w:pPr>
            <w:r>
              <w:rPr>
                <w:kern w:val="0"/>
                <w:sz w:val="24"/>
              </w:rPr>
              <w:t>—</w:t>
            </w:r>
          </w:p>
        </w:tc>
        <w:tc>
          <w:tcPr>
            <w:tcW w:w="1059" w:type="dxa"/>
            <w:noWrap/>
            <w:vAlign w:val="center"/>
          </w:tcPr>
          <w:p w14:paraId="3EB9E6DC">
            <w:pPr>
              <w:widowControl/>
              <w:spacing w:before="100" w:beforeAutospacing="1" w:after="100" w:afterAutospacing="1" w:line="400" w:lineRule="exact"/>
              <w:jc w:val="center"/>
              <w:rPr>
                <w:kern w:val="0"/>
                <w:sz w:val="24"/>
              </w:rPr>
            </w:pPr>
            <w:r>
              <w:rPr>
                <w:kern w:val="0"/>
                <w:sz w:val="24"/>
              </w:rPr>
              <w:t>约束性</w:t>
            </w:r>
          </w:p>
        </w:tc>
      </w:tr>
      <w:tr w14:paraId="3C14C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21E24039">
            <w:pPr>
              <w:widowControl/>
              <w:spacing w:line="400" w:lineRule="exact"/>
              <w:jc w:val="center"/>
              <w:rPr>
                <w:kern w:val="0"/>
                <w:sz w:val="24"/>
              </w:rPr>
            </w:pPr>
          </w:p>
        </w:tc>
        <w:tc>
          <w:tcPr>
            <w:tcW w:w="518" w:type="dxa"/>
            <w:noWrap/>
            <w:vAlign w:val="center"/>
          </w:tcPr>
          <w:p w14:paraId="6921742B">
            <w:pPr>
              <w:widowControl/>
              <w:spacing w:before="100" w:beforeAutospacing="1" w:after="100" w:afterAutospacing="1" w:line="400" w:lineRule="exact"/>
              <w:jc w:val="center"/>
              <w:rPr>
                <w:kern w:val="0"/>
                <w:sz w:val="24"/>
              </w:rPr>
            </w:pPr>
            <w:r>
              <w:rPr>
                <w:kern w:val="0"/>
                <w:sz w:val="24"/>
              </w:rPr>
              <w:t>3</w:t>
            </w:r>
          </w:p>
        </w:tc>
        <w:tc>
          <w:tcPr>
            <w:tcW w:w="3907" w:type="dxa"/>
            <w:noWrap/>
            <w:vAlign w:val="center"/>
          </w:tcPr>
          <w:p w14:paraId="7F8EAF4F">
            <w:pPr>
              <w:widowControl/>
              <w:spacing w:before="100" w:beforeAutospacing="1" w:after="100" w:afterAutospacing="1" w:line="400" w:lineRule="exact"/>
              <w:jc w:val="left"/>
              <w:rPr>
                <w:kern w:val="0"/>
                <w:sz w:val="24"/>
              </w:rPr>
            </w:pPr>
            <w:r>
              <w:rPr>
                <w:kern w:val="0"/>
                <w:sz w:val="24"/>
              </w:rPr>
              <w:t>生猪饲养量（万头）</w:t>
            </w:r>
          </w:p>
        </w:tc>
        <w:tc>
          <w:tcPr>
            <w:tcW w:w="881" w:type="dxa"/>
            <w:noWrap/>
            <w:vAlign w:val="center"/>
          </w:tcPr>
          <w:p w14:paraId="7AADF097">
            <w:pPr>
              <w:widowControl/>
              <w:spacing w:before="100" w:beforeAutospacing="1" w:after="100" w:afterAutospacing="1" w:line="400" w:lineRule="exact"/>
              <w:jc w:val="center"/>
              <w:rPr>
                <w:kern w:val="0"/>
                <w:sz w:val="24"/>
              </w:rPr>
            </w:pPr>
            <w:r>
              <w:rPr>
                <w:kern w:val="0"/>
                <w:sz w:val="24"/>
              </w:rPr>
              <w:t>75.5</w:t>
            </w:r>
          </w:p>
        </w:tc>
        <w:tc>
          <w:tcPr>
            <w:tcW w:w="952" w:type="dxa"/>
            <w:noWrap/>
            <w:vAlign w:val="center"/>
          </w:tcPr>
          <w:p w14:paraId="4F2A0B08">
            <w:pPr>
              <w:widowControl/>
              <w:spacing w:before="100" w:beforeAutospacing="1" w:after="100" w:afterAutospacing="1" w:line="400" w:lineRule="exact"/>
              <w:jc w:val="center"/>
              <w:rPr>
                <w:kern w:val="0"/>
                <w:sz w:val="24"/>
              </w:rPr>
            </w:pPr>
            <w:r>
              <w:rPr>
                <w:kern w:val="0"/>
                <w:sz w:val="24"/>
              </w:rPr>
              <w:t>135</w:t>
            </w:r>
          </w:p>
        </w:tc>
        <w:tc>
          <w:tcPr>
            <w:tcW w:w="966" w:type="dxa"/>
            <w:noWrap/>
            <w:vAlign w:val="center"/>
          </w:tcPr>
          <w:p w14:paraId="28866BB9">
            <w:pPr>
              <w:widowControl/>
              <w:spacing w:before="100" w:beforeAutospacing="1" w:after="100" w:afterAutospacing="1" w:line="400" w:lineRule="exact"/>
              <w:jc w:val="center"/>
              <w:rPr>
                <w:kern w:val="0"/>
                <w:sz w:val="24"/>
              </w:rPr>
            </w:pPr>
            <w:r>
              <w:rPr>
                <w:kern w:val="0"/>
                <w:sz w:val="24"/>
              </w:rPr>
              <w:t>12.3%</w:t>
            </w:r>
          </w:p>
        </w:tc>
        <w:tc>
          <w:tcPr>
            <w:tcW w:w="1059" w:type="dxa"/>
            <w:noWrap/>
            <w:vAlign w:val="center"/>
          </w:tcPr>
          <w:p w14:paraId="3702FE95">
            <w:pPr>
              <w:widowControl/>
              <w:spacing w:before="100" w:beforeAutospacing="1" w:after="100" w:afterAutospacing="1" w:line="400" w:lineRule="exact"/>
              <w:jc w:val="center"/>
              <w:rPr>
                <w:kern w:val="0"/>
                <w:sz w:val="24"/>
              </w:rPr>
            </w:pPr>
            <w:r>
              <w:rPr>
                <w:kern w:val="0"/>
                <w:sz w:val="24"/>
              </w:rPr>
              <w:t xml:space="preserve">预期性 </w:t>
            </w:r>
          </w:p>
        </w:tc>
      </w:tr>
      <w:tr w14:paraId="65EF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041BC5ED">
            <w:pPr>
              <w:widowControl/>
              <w:spacing w:line="400" w:lineRule="exact"/>
              <w:jc w:val="center"/>
              <w:rPr>
                <w:kern w:val="0"/>
                <w:sz w:val="24"/>
              </w:rPr>
            </w:pPr>
          </w:p>
        </w:tc>
        <w:tc>
          <w:tcPr>
            <w:tcW w:w="518" w:type="dxa"/>
            <w:noWrap/>
            <w:vAlign w:val="center"/>
          </w:tcPr>
          <w:p w14:paraId="64591612">
            <w:pPr>
              <w:widowControl/>
              <w:spacing w:before="100" w:beforeAutospacing="1" w:after="100" w:afterAutospacing="1" w:line="400" w:lineRule="exact"/>
              <w:jc w:val="center"/>
              <w:rPr>
                <w:kern w:val="0"/>
                <w:sz w:val="24"/>
              </w:rPr>
            </w:pPr>
            <w:r>
              <w:rPr>
                <w:kern w:val="0"/>
                <w:sz w:val="24"/>
              </w:rPr>
              <w:t>4</w:t>
            </w:r>
          </w:p>
        </w:tc>
        <w:tc>
          <w:tcPr>
            <w:tcW w:w="3907" w:type="dxa"/>
            <w:noWrap/>
            <w:vAlign w:val="center"/>
          </w:tcPr>
          <w:p w14:paraId="4A366EFC">
            <w:pPr>
              <w:widowControl/>
              <w:spacing w:before="100" w:beforeAutospacing="1" w:after="100" w:afterAutospacing="1" w:line="400" w:lineRule="exact"/>
              <w:jc w:val="left"/>
              <w:rPr>
                <w:kern w:val="0"/>
                <w:sz w:val="24"/>
              </w:rPr>
            </w:pPr>
            <w:r>
              <w:rPr>
                <w:kern w:val="0"/>
                <w:sz w:val="24"/>
              </w:rPr>
              <w:t>家禽饲养量（万只）</w:t>
            </w:r>
          </w:p>
        </w:tc>
        <w:tc>
          <w:tcPr>
            <w:tcW w:w="881" w:type="dxa"/>
            <w:noWrap/>
            <w:vAlign w:val="center"/>
          </w:tcPr>
          <w:p w14:paraId="752DD513">
            <w:pPr>
              <w:widowControl/>
              <w:spacing w:before="100" w:beforeAutospacing="1" w:after="100" w:afterAutospacing="1" w:line="400" w:lineRule="exact"/>
              <w:jc w:val="center"/>
              <w:rPr>
                <w:kern w:val="0"/>
                <w:sz w:val="24"/>
              </w:rPr>
            </w:pPr>
            <w:r>
              <w:rPr>
                <w:kern w:val="0"/>
                <w:sz w:val="24"/>
              </w:rPr>
              <w:t>1850</w:t>
            </w:r>
          </w:p>
        </w:tc>
        <w:tc>
          <w:tcPr>
            <w:tcW w:w="952" w:type="dxa"/>
            <w:noWrap/>
            <w:vAlign w:val="center"/>
          </w:tcPr>
          <w:p w14:paraId="14A8C5CA">
            <w:pPr>
              <w:widowControl/>
              <w:spacing w:before="100" w:beforeAutospacing="1" w:after="100" w:afterAutospacing="1" w:line="400" w:lineRule="exact"/>
              <w:jc w:val="center"/>
              <w:rPr>
                <w:kern w:val="0"/>
                <w:sz w:val="24"/>
              </w:rPr>
            </w:pPr>
            <w:r>
              <w:rPr>
                <w:kern w:val="0"/>
                <w:sz w:val="24"/>
              </w:rPr>
              <w:t>2200</w:t>
            </w:r>
          </w:p>
        </w:tc>
        <w:tc>
          <w:tcPr>
            <w:tcW w:w="966" w:type="dxa"/>
            <w:noWrap/>
            <w:vAlign w:val="center"/>
          </w:tcPr>
          <w:p w14:paraId="467835A6">
            <w:pPr>
              <w:widowControl/>
              <w:spacing w:before="100" w:beforeAutospacing="1" w:after="100" w:afterAutospacing="1" w:line="400" w:lineRule="exact"/>
              <w:jc w:val="center"/>
              <w:rPr>
                <w:kern w:val="0"/>
                <w:sz w:val="24"/>
              </w:rPr>
            </w:pPr>
            <w:r>
              <w:rPr>
                <w:kern w:val="0"/>
                <w:sz w:val="24"/>
              </w:rPr>
              <w:t>3.5%</w:t>
            </w:r>
          </w:p>
        </w:tc>
        <w:tc>
          <w:tcPr>
            <w:tcW w:w="1059" w:type="dxa"/>
            <w:noWrap/>
            <w:vAlign w:val="center"/>
          </w:tcPr>
          <w:p w14:paraId="3740A094">
            <w:pPr>
              <w:widowControl/>
              <w:spacing w:before="100" w:beforeAutospacing="1" w:after="100" w:afterAutospacing="1" w:line="400" w:lineRule="exact"/>
              <w:jc w:val="center"/>
              <w:rPr>
                <w:kern w:val="0"/>
                <w:sz w:val="24"/>
              </w:rPr>
            </w:pPr>
            <w:r>
              <w:rPr>
                <w:kern w:val="0"/>
                <w:sz w:val="24"/>
              </w:rPr>
              <w:t xml:space="preserve">预期性 </w:t>
            </w:r>
          </w:p>
        </w:tc>
      </w:tr>
      <w:tr w14:paraId="3BB2F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0E68630A">
            <w:pPr>
              <w:widowControl/>
              <w:spacing w:line="400" w:lineRule="exact"/>
              <w:jc w:val="center"/>
              <w:rPr>
                <w:kern w:val="0"/>
                <w:sz w:val="24"/>
              </w:rPr>
            </w:pPr>
          </w:p>
        </w:tc>
        <w:tc>
          <w:tcPr>
            <w:tcW w:w="518" w:type="dxa"/>
            <w:noWrap/>
            <w:vAlign w:val="center"/>
          </w:tcPr>
          <w:p w14:paraId="6835256A">
            <w:pPr>
              <w:widowControl/>
              <w:spacing w:before="100" w:beforeAutospacing="1" w:after="100" w:afterAutospacing="1" w:line="400" w:lineRule="exact"/>
              <w:jc w:val="center"/>
              <w:rPr>
                <w:kern w:val="0"/>
                <w:sz w:val="24"/>
              </w:rPr>
            </w:pPr>
            <w:r>
              <w:rPr>
                <w:kern w:val="0"/>
                <w:sz w:val="24"/>
              </w:rPr>
              <w:t>5</w:t>
            </w:r>
          </w:p>
        </w:tc>
        <w:tc>
          <w:tcPr>
            <w:tcW w:w="3907" w:type="dxa"/>
            <w:noWrap/>
            <w:vAlign w:val="center"/>
          </w:tcPr>
          <w:p w14:paraId="119913DF">
            <w:pPr>
              <w:widowControl/>
              <w:spacing w:before="100" w:beforeAutospacing="1" w:after="100" w:afterAutospacing="1" w:line="400" w:lineRule="exact"/>
              <w:jc w:val="left"/>
              <w:rPr>
                <w:kern w:val="0"/>
                <w:sz w:val="24"/>
              </w:rPr>
            </w:pPr>
            <w:r>
              <w:rPr>
                <w:kern w:val="0"/>
                <w:sz w:val="24"/>
              </w:rPr>
              <w:t>水产产量（万吨）</w:t>
            </w:r>
          </w:p>
        </w:tc>
        <w:tc>
          <w:tcPr>
            <w:tcW w:w="881" w:type="dxa"/>
            <w:noWrap/>
            <w:vAlign w:val="center"/>
          </w:tcPr>
          <w:p w14:paraId="724535EC">
            <w:pPr>
              <w:widowControl/>
              <w:spacing w:before="100" w:beforeAutospacing="1" w:after="100" w:afterAutospacing="1" w:line="400" w:lineRule="exact"/>
              <w:jc w:val="center"/>
              <w:rPr>
                <w:kern w:val="0"/>
                <w:sz w:val="24"/>
              </w:rPr>
            </w:pPr>
            <w:r>
              <w:rPr>
                <w:kern w:val="0"/>
                <w:sz w:val="24"/>
              </w:rPr>
              <w:t>2.8</w:t>
            </w:r>
          </w:p>
        </w:tc>
        <w:tc>
          <w:tcPr>
            <w:tcW w:w="952" w:type="dxa"/>
            <w:noWrap/>
            <w:vAlign w:val="center"/>
          </w:tcPr>
          <w:p w14:paraId="52D2B27B">
            <w:pPr>
              <w:widowControl/>
              <w:spacing w:before="100" w:beforeAutospacing="1" w:after="100" w:afterAutospacing="1" w:line="400" w:lineRule="exact"/>
              <w:jc w:val="center"/>
              <w:rPr>
                <w:kern w:val="0"/>
                <w:sz w:val="24"/>
              </w:rPr>
            </w:pPr>
            <w:r>
              <w:rPr>
                <w:kern w:val="0"/>
                <w:sz w:val="24"/>
              </w:rPr>
              <w:t>3.5</w:t>
            </w:r>
          </w:p>
        </w:tc>
        <w:tc>
          <w:tcPr>
            <w:tcW w:w="966" w:type="dxa"/>
            <w:noWrap/>
            <w:vAlign w:val="center"/>
          </w:tcPr>
          <w:p w14:paraId="288076DC">
            <w:pPr>
              <w:widowControl/>
              <w:spacing w:before="100" w:beforeAutospacing="1" w:after="100" w:afterAutospacing="1" w:line="400" w:lineRule="exact"/>
              <w:jc w:val="center"/>
              <w:rPr>
                <w:kern w:val="0"/>
                <w:sz w:val="24"/>
              </w:rPr>
            </w:pPr>
            <w:r>
              <w:rPr>
                <w:kern w:val="0"/>
                <w:sz w:val="24"/>
              </w:rPr>
              <w:t>4.6%</w:t>
            </w:r>
          </w:p>
        </w:tc>
        <w:tc>
          <w:tcPr>
            <w:tcW w:w="1059" w:type="dxa"/>
            <w:noWrap/>
            <w:vAlign w:val="center"/>
          </w:tcPr>
          <w:p w14:paraId="3EDFD879">
            <w:pPr>
              <w:widowControl/>
              <w:spacing w:before="100" w:beforeAutospacing="1" w:after="100" w:afterAutospacing="1" w:line="400" w:lineRule="exact"/>
              <w:jc w:val="center"/>
              <w:rPr>
                <w:kern w:val="0"/>
                <w:sz w:val="24"/>
              </w:rPr>
            </w:pPr>
            <w:r>
              <w:rPr>
                <w:kern w:val="0"/>
                <w:sz w:val="24"/>
              </w:rPr>
              <w:t xml:space="preserve">预期性 </w:t>
            </w:r>
          </w:p>
        </w:tc>
      </w:tr>
      <w:tr w14:paraId="3144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64F77FCF">
            <w:pPr>
              <w:widowControl/>
              <w:spacing w:line="400" w:lineRule="exact"/>
              <w:jc w:val="center"/>
              <w:rPr>
                <w:kern w:val="0"/>
                <w:sz w:val="24"/>
              </w:rPr>
            </w:pPr>
          </w:p>
        </w:tc>
        <w:tc>
          <w:tcPr>
            <w:tcW w:w="518" w:type="dxa"/>
            <w:noWrap/>
            <w:vAlign w:val="center"/>
          </w:tcPr>
          <w:p w14:paraId="41DD206E">
            <w:pPr>
              <w:widowControl/>
              <w:spacing w:before="100" w:beforeAutospacing="1" w:after="100" w:afterAutospacing="1" w:line="400" w:lineRule="exact"/>
              <w:jc w:val="center"/>
              <w:rPr>
                <w:kern w:val="0"/>
                <w:sz w:val="24"/>
              </w:rPr>
            </w:pPr>
            <w:r>
              <w:rPr>
                <w:kern w:val="0"/>
                <w:sz w:val="24"/>
              </w:rPr>
              <w:t>6</w:t>
            </w:r>
          </w:p>
        </w:tc>
        <w:tc>
          <w:tcPr>
            <w:tcW w:w="3907" w:type="dxa"/>
            <w:noWrap/>
            <w:vAlign w:val="center"/>
          </w:tcPr>
          <w:p w14:paraId="55957598">
            <w:pPr>
              <w:widowControl/>
              <w:spacing w:before="100" w:beforeAutospacing="1" w:after="100" w:afterAutospacing="1" w:line="400" w:lineRule="exact"/>
              <w:jc w:val="left"/>
              <w:rPr>
                <w:kern w:val="0"/>
                <w:sz w:val="24"/>
              </w:rPr>
            </w:pPr>
            <w:r>
              <w:rPr>
                <w:kern w:val="0"/>
                <w:sz w:val="24"/>
              </w:rPr>
              <w:t>蔬菜产量（万吨）</w:t>
            </w:r>
          </w:p>
        </w:tc>
        <w:tc>
          <w:tcPr>
            <w:tcW w:w="881" w:type="dxa"/>
            <w:noWrap/>
            <w:vAlign w:val="center"/>
          </w:tcPr>
          <w:p w14:paraId="543492E2">
            <w:pPr>
              <w:widowControl/>
              <w:spacing w:before="100" w:beforeAutospacing="1" w:after="100" w:afterAutospacing="1" w:line="400" w:lineRule="exact"/>
              <w:jc w:val="center"/>
              <w:rPr>
                <w:kern w:val="0"/>
                <w:sz w:val="24"/>
              </w:rPr>
            </w:pPr>
            <w:r>
              <w:rPr>
                <w:kern w:val="0"/>
                <w:sz w:val="24"/>
              </w:rPr>
              <w:t>73.9</w:t>
            </w:r>
          </w:p>
        </w:tc>
        <w:tc>
          <w:tcPr>
            <w:tcW w:w="952" w:type="dxa"/>
            <w:noWrap/>
            <w:vAlign w:val="center"/>
          </w:tcPr>
          <w:p w14:paraId="6DF9AE80">
            <w:pPr>
              <w:widowControl/>
              <w:spacing w:before="100" w:beforeAutospacing="1" w:after="100" w:afterAutospacing="1" w:line="400" w:lineRule="exact"/>
              <w:jc w:val="center"/>
              <w:rPr>
                <w:kern w:val="0"/>
                <w:sz w:val="24"/>
              </w:rPr>
            </w:pPr>
            <w:r>
              <w:rPr>
                <w:kern w:val="0"/>
                <w:sz w:val="24"/>
              </w:rPr>
              <w:t>81.5</w:t>
            </w:r>
          </w:p>
        </w:tc>
        <w:tc>
          <w:tcPr>
            <w:tcW w:w="966" w:type="dxa"/>
            <w:noWrap/>
            <w:vAlign w:val="center"/>
          </w:tcPr>
          <w:p w14:paraId="0D76507C">
            <w:pPr>
              <w:widowControl/>
              <w:spacing w:before="100" w:beforeAutospacing="1" w:after="100" w:afterAutospacing="1" w:line="400" w:lineRule="exact"/>
              <w:jc w:val="center"/>
              <w:rPr>
                <w:kern w:val="0"/>
                <w:sz w:val="24"/>
              </w:rPr>
            </w:pPr>
            <w:r>
              <w:rPr>
                <w:kern w:val="0"/>
                <w:sz w:val="24"/>
              </w:rPr>
              <w:t>2.0%</w:t>
            </w:r>
          </w:p>
        </w:tc>
        <w:tc>
          <w:tcPr>
            <w:tcW w:w="1059" w:type="dxa"/>
            <w:noWrap/>
            <w:vAlign w:val="center"/>
          </w:tcPr>
          <w:p w14:paraId="3DDBA633">
            <w:pPr>
              <w:widowControl/>
              <w:spacing w:before="100" w:beforeAutospacing="1" w:after="100" w:afterAutospacing="1" w:line="400" w:lineRule="exact"/>
              <w:jc w:val="center"/>
              <w:rPr>
                <w:kern w:val="0"/>
                <w:sz w:val="24"/>
              </w:rPr>
            </w:pPr>
            <w:r>
              <w:rPr>
                <w:kern w:val="0"/>
                <w:sz w:val="24"/>
              </w:rPr>
              <w:t xml:space="preserve">预期性 </w:t>
            </w:r>
          </w:p>
        </w:tc>
      </w:tr>
      <w:tr w14:paraId="2F45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626C5D8E">
            <w:pPr>
              <w:widowControl/>
              <w:spacing w:line="400" w:lineRule="exact"/>
              <w:jc w:val="center"/>
              <w:rPr>
                <w:kern w:val="0"/>
                <w:sz w:val="24"/>
              </w:rPr>
            </w:pPr>
          </w:p>
        </w:tc>
        <w:tc>
          <w:tcPr>
            <w:tcW w:w="518" w:type="dxa"/>
            <w:noWrap/>
            <w:vAlign w:val="center"/>
          </w:tcPr>
          <w:p w14:paraId="0F7B66F2">
            <w:pPr>
              <w:widowControl/>
              <w:spacing w:before="100" w:beforeAutospacing="1" w:after="100" w:afterAutospacing="1" w:line="400" w:lineRule="exact"/>
              <w:jc w:val="center"/>
              <w:rPr>
                <w:kern w:val="0"/>
                <w:sz w:val="24"/>
              </w:rPr>
            </w:pPr>
            <w:r>
              <w:rPr>
                <w:kern w:val="0"/>
                <w:sz w:val="24"/>
              </w:rPr>
              <w:t>7</w:t>
            </w:r>
          </w:p>
        </w:tc>
        <w:tc>
          <w:tcPr>
            <w:tcW w:w="3907" w:type="dxa"/>
            <w:noWrap/>
            <w:vAlign w:val="center"/>
          </w:tcPr>
          <w:p w14:paraId="5748BB11">
            <w:pPr>
              <w:widowControl/>
              <w:spacing w:before="100" w:beforeAutospacing="1" w:after="100" w:afterAutospacing="1" w:line="400" w:lineRule="exact"/>
              <w:jc w:val="left"/>
              <w:rPr>
                <w:kern w:val="0"/>
                <w:sz w:val="24"/>
              </w:rPr>
            </w:pPr>
            <w:r>
              <w:rPr>
                <w:kern w:val="0"/>
                <w:sz w:val="24"/>
              </w:rPr>
              <w:t>水果产量（万吨）</w:t>
            </w:r>
          </w:p>
        </w:tc>
        <w:tc>
          <w:tcPr>
            <w:tcW w:w="881" w:type="dxa"/>
            <w:noWrap/>
            <w:vAlign w:val="center"/>
          </w:tcPr>
          <w:p w14:paraId="50752C3B">
            <w:pPr>
              <w:widowControl/>
              <w:spacing w:before="100" w:beforeAutospacing="1" w:after="100" w:afterAutospacing="1" w:line="400" w:lineRule="exact"/>
              <w:jc w:val="center"/>
              <w:rPr>
                <w:kern w:val="0"/>
                <w:sz w:val="24"/>
              </w:rPr>
            </w:pPr>
            <w:r>
              <w:rPr>
                <w:kern w:val="0"/>
                <w:sz w:val="24"/>
              </w:rPr>
              <w:t>12.5</w:t>
            </w:r>
          </w:p>
        </w:tc>
        <w:tc>
          <w:tcPr>
            <w:tcW w:w="952" w:type="dxa"/>
            <w:noWrap/>
            <w:vAlign w:val="center"/>
          </w:tcPr>
          <w:p w14:paraId="06B2D0FA">
            <w:pPr>
              <w:widowControl/>
              <w:spacing w:before="100" w:beforeAutospacing="1" w:after="100" w:afterAutospacing="1" w:line="400" w:lineRule="exact"/>
              <w:jc w:val="center"/>
              <w:rPr>
                <w:kern w:val="0"/>
                <w:sz w:val="24"/>
              </w:rPr>
            </w:pPr>
            <w:r>
              <w:rPr>
                <w:kern w:val="0"/>
                <w:sz w:val="24"/>
              </w:rPr>
              <w:t>13.5</w:t>
            </w:r>
          </w:p>
        </w:tc>
        <w:tc>
          <w:tcPr>
            <w:tcW w:w="966" w:type="dxa"/>
            <w:noWrap/>
            <w:vAlign w:val="center"/>
          </w:tcPr>
          <w:p w14:paraId="08529385">
            <w:pPr>
              <w:widowControl/>
              <w:spacing w:before="100" w:beforeAutospacing="1" w:after="100" w:afterAutospacing="1" w:line="400" w:lineRule="exact"/>
              <w:jc w:val="center"/>
              <w:rPr>
                <w:kern w:val="0"/>
                <w:sz w:val="24"/>
              </w:rPr>
            </w:pPr>
            <w:r>
              <w:rPr>
                <w:kern w:val="0"/>
                <w:sz w:val="24"/>
              </w:rPr>
              <w:t>1.6%</w:t>
            </w:r>
          </w:p>
        </w:tc>
        <w:tc>
          <w:tcPr>
            <w:tcW w:w="1059" w:type="dxa"/>
            <w:noWrap/>
            <w:vAlign w:val="center"/>
          </w:tcPr>
          <w:p w14:paraId="476185F1">
            <w:pPr>
              <w:widowControl/>
              <w:spacing w:before="100" w:beforeAutospacing="1" w:after="100" w:afterAutospacing="1" w:line="400" w:lineRule="exact"/>
              <w:jc w:val="center"/>
              <w:rPr>
                <w:kern w:val="0"/>
                <w:sz w:val="24"/>
              </w:rPr>
            </w:pPr>
            <w:r>
              <w:rPr>
                <w:kern w:val="0"/>
                <w:sz w:val="24"/>
              </w:rPr>
              <w:t xml:space="preserve">预期性 </w:t>
            </w:r>
          </w:p>
        </w:tc>
      </w:tr>
      <w:tr w14:paraId="591AA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31089A42">
            <w:pPr>
              <w:widowControl/>
              <w:spacing w:line="400" w:lineRule="exact"/>
              <w:jc w:val="center"/>
              <w:rPr>
                <w:kern w:val="0"/>
                <w:sz w:val="24"/>
              </w:rPr>
            </w:pPr>
          </w:p>
        </w:tc>
        <w:tc>
          <w:tcPr>
            <w:tcW w:w="518" w:type="dxa"/>
            <w:noWrap/>
            <w:vAlign w:val="center"/>
          </w:tcPr>
          <w:p w14:paraId="3213F2B5">
            <w:pPr>
              <w:widowControl/>
              <w:spacing w:before="100" w:beforeAutospacing="1" w:after="100" w:afterAutospacing="1" w:line="400" w:lineRule="exact"/>
              <w:jc w:val="center"/>
              <w:rPr>
                <w:kern w:val="0"/>
                <w:sz w:val="24"/>
              </w:rPr>
            </w:pPr>
            <w:r>
              <w:rPr>
                <w:kern w:val="0"/>
                <w:sz w:val="24"/>
              </w:rPr>
              <w:t>8</w:t>
            </w:r>
          </w:p>
        </w:tc>
        <w:tc>
          <w:tcPr>
            <w:tcW w:w="3907" w:type="dxa"/>
            <w:noWrap/>
            <w:vAlign w:val="center"/>
          </w:tcPr>
          <w:p w14:paraId="5C1FB2BE">
            <w:pPr>
              <w:widowControl/>
              <w:spacing w:before="100" w:beforeAutospacing="1" w:after="100" w:afterAutospacing="1" w:line="400" w:lineRule="exact"/>
              <w:jc w:val="left"/>
              <w:rPr>
                <w:kern w:val="0"/>
                <w:sz w:val="24"/>
              </w:rPr>
            </w:pPr>
            <w:r>
              <w:rPr>
                <w:kern w:val="0"/>
                <w:sz w:val="24"/>
              </w:rPr>
              <w:t>茶叶产量（万吨）</w:t>
            </w:r>
          </w:p>
        </w:tc>
        <w:tc>
          <w:tcPr>
            <w:tcW w:w="881" w:type="dxa"/>
            <w:noWrap/>
            <w:vAlign w:val="center"/>
          </w:tcPr>
          <w:p w14:paraId="308F68F8">
            <w:pPr>
              <w:widowControl/>
              <w:spacing w:before="100" w:beforeAutospacing="1" w:after="100" w:afterAutospacing="1" w:line="400" w:lineRule="exact"/>
              <w:jc w:val="center"/>
              <w:rPr>
                <w:kern w:val="0"/>
                <w:sz w:val="24"/>
              </w:rPr>
            </w:pPr>
            <w:r>
              <w:rPr>
                <w:kern w:val="0"/>
                <w:sz w:val="24"/>
              </w:rPr>
              <w:t>0.8</w:t>
            </w:r>
          </w:p>
        </w:tc>
        <w:tc>
          <w:tcPr>
            <w:tcW w:w="952" w:type="dxa"/>
            <w:noWrap/>
            <w:vAlign w:val="center"/>
          </w:tcPr>
          <w:p w14:paraId="57D68C9E">
            <w:pPr>
              <w:widowControl/>
              <w:spacing w:before="100" w:beforeAutospacing="1" w:after="100" w:afterAutospacing="1" w:line="400" w:lineRule="exact"/>
              <w:jc w:val="center"/>
              <w:rPr>
                <w:kern w:val="0"/>
                <w:sz w:val="24"/>
              </w:rPr>
            </w:pPr>
            <w:r>
              <w:rPr>
                <w:kern w:val="0"/>
                <w:sz w:val="24"/>
              </w:rPr>
              <w:t>1.15</w:t>
            </w:r>
          </w:p>
        </w:tc>
        <w:tc>
          <w:tcPr>
            <w:tcW w:w="966" w:type="dxa"/>
            <w:noWrap/>
            <w:vAlign w:val="center"/>
          </w:tcPr>
          <w:p w14:paraId="5FBFF452">
            <w:pPr>
              <w:widowControl/>
              <w:spacing w:before="100" w:beforeAutospacing="1" w:after="100" w:afterAutospacing="1" w:line="400" w:lineRule="exact"/>
              <w:jc w:val="center"/>
              <w:rPr>
                <w:kern w:val="0"/>
                <w:sz w:val="24"/>
              </w:rPr>
            </w:pPr>
            <w:r>
              <w:rPr>
                <w:kern w:val="0"/>
                <w:sz w:val="24"/>
              </w:rPr>
              <w:t>7.5%</w:t>
            </w:r>
          </w:p>
        </w:tc>
        <w:tc>
          <w:tcPr>
            <w:tcW w:w="1059" w:type="dxa"/>
            <w:noWrap/>
            <w:vAlign w:val="center"/>
          </w:tcPr>
          <w:p w14:paraId="388D9526">
            <w:pPr>
              <w:widowControl/>
              <w:spacing w:before="100" w:beforeAutospacing="1" w:after="100" w:afterAutospacing="1" w:line="400" w:lineRule="exact"/>
              <w:jc w:val="center"/>
              <w:rPr>
                <w:kern w:val="0"/>
                <w:sz w:val="24"/>
              </w:rPr>
            </w:pPr>
            <w:r>
              <w:rPr>
                <w:kern w:val="0"/>
                <w:sz w:val="24"/>
              </w:rPr>
              <w:t xml:space="preserve">预期性 </w:t>
            </w:r>
          </w:p>
        </w:tc>
      </w:tr>
      <w:tr w14:paraId="53156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588" w:type="dxa"/>
            <w:vMerge w:val="continue"/>
            <w:noWrap/>
            <w:vAlign w:val="center"/>
          </w:tcPr>
          <w:p w14:paraId="656EF28F">
            <w:pPr>
              <w:widowControl/>
              <w:spacing w:line="400" w:lineRule="exact"/>
              <w:jc w:val="center"/>
              <w:rPr>
                <w:kern w:val="0"/>
                <w:sz w:val="24"/>
              </w:rPr>
            </w:pPr>
          </w:p>
        </w:tc>
        <w:tc>
          <w:tcPr>
            <w:tcW w:w="518" w:type="dxa"/>
            <w:noWrap/>
            <w:vAlign w:val="center"/>
          </w:tcPr>
          <w:p w14:paraId="4D53A1BD">
            <w:pPr>
              <w:widowControl/>
              <w:spacing w:before="100" w:beforeAutospacing="1" w:after="100" w:afterAutospacing="1" w:line="400" w:lineRule="exact"/>
              <w:jc w:val="center"/>
              <w:rPr>
                <w:kern w:val="0"/>
                <w:sz w:val="24"/>
              </w:rPr>
            </w:pPr>
            <w:r>
              <w:rPr>
                <w:kern w:val="0"/>
                <w:sz w:val="24"/>
              </w:rPr>
              <w:t>9</w:t>
            </w:r>
          </w:p>
        </w:tc>
        <w:tc>
          <w:tcPr>
            <w:tcW w:w="3907" w:type="dxa"/>
            <w:noWrap/>
            <w:vAlign w:val="center"/>
          </w:tcPr>
          <w:p w14:paraId="50AF8298">
            <w:pPr>
              <w:widowControl/>
              <w:spacing w:before="100" w:beforeAutospacing="1" w:after="100" w:afterAutospacing="1" w:line="400" w:lineRule="exact"/>
              <w:jc w:val="left"/>
              <w:rPr>
                <w:kern w:val="0"/>
                <w:sz w:val="24"/>
              </w:rPr>
            </w:pPr>
            <w:r>
              <w:rPr>
                <w:kern w:val="0"/>
                <w:sz w:val="24"/>
              </w:rPr>
              <w:t xml:space="preserve">高标准农田建设面积（万亩） </w:t>
            </w:r>
          </w:p>
        </w:tc>
        <w:tc>
          <w:tcPr>
            <w:tcW w:w="881" w:type="dxa"/>
            <w:noWrap/>
            <w:vAlign w:val="center"/>
          </w:tcPr>
          <w:p w14:paraId="7FE56307">
            <w:pPr>
              <w:widowControl/>
              <w:spacing w:before="100" w:beforeAutospacing="1" w:after="100" w:afterAutospacing="1" w:line="400" w:lineRule="exact"/>
              <w:jc w:val="center"/>
              <w:rPr>
                <w:kern w:val="0"/>
                <w:sz w:val="24"/>
              </w:rPr>
            </w:pPr>
            <w:r>
              <w:rPr>
                <w:kern w:val="0"/>
                <w:sz w:val="24"/>
              </w:rPr>
              <w:t>60</w:t>
            </w:r>
          </w:p>
        </w:tc>
        <w:tc>
          <w:tcPr>
            <w:tcW w:w="952" w:type="dxa"/>
            <w:noWrap/>
            <w:vAlign w:val="center"/>
          </w:tcPr>
          <w:p w14:paraId="7BCF3B8B">
            <w:pPr>
              <w:widowControl/>
              <w:spacing w:before="100" w:beforeAutospacing="1" w:after="100" w:afterAutospacing="1" w:line="400" w:lineRule="exact"/>
              <w:jc w:val="center"/>
              <w:rPr>
                <w:kern w:val="0"/>
                <w:sz w:val="24"/>
              </w:rPr>
            </w:pPr>
            <w:r>
              <w:rPr>
                <w:kern w:val="0"/>
                <w:sz w:val="24"/>
              </w:rPr>
              <w:t>85</w:t>
            </w:r>
          </w:p>
        </w:tc>
        <w:tc>
          <w:tcPr>
            <w:tcW w:w="966" w:type="dxa"/>
            <w:noWrap/>
            <w:vAlign w:val="center"/>
          </w:tcPr>
          <w:p w14:paraId="6B9512B8">
            <w:pPr>
              <w:widowControl/>
              <w:spacing w:before="100" w:beforeAutospacing="1" w:after="100" w:afterAutospacing="1" w:line="400" w:lineRule="exact"/>
              <w:jc w:val="center"/>
              <w:rPr>
                <w:kern w:val="0"/>
                <w:sz w:val="24"/>
              </w:rPr>
            </w:pPr>
            <w:r>
              <w:rPr>
                <w:kern w:val="0"/>
                <w:sz w:val="24"/>
              </w:rPr>
              <w:t>[25]</w:t>
            </w:r>
          </w:p>
        </w:tc>
        <w:tc>
          <w:tcPr>
            <w:tcW w:w="1059" w:type="dxa"/>
            <w:noWrap/>
            <w:vAlign w:val="center"/>
          </w:tcPr>
          <w:p w14:paraId="66C2D581">
            <w:pPr>
              <w:widowControl/>
              <w:spacing w:before="100" w:beforeAutospacing="1" w:after="100" w:afterAutospacing="1" w:line="400" w:lineRule="exact"/>
              <w:jc w:val="center"/>
              <w:rPr>
                <w:kern w:val="0"/>
                <w:sz w:val="24"/>
              </w:rPr>
            </w:pPr>
            <w:r>
              <w:rPr>
                <w:kern w:val="0"/>
                <w:sz w:val="24"/>
              </w:rPr>
              <w:t>约束性</w:t>
            </w:r>
          </w:p>
        </w:tc>
      </w:tr>
      <w:tr w14:paraId="7D44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jc w:val="center"/>
        </w:trPr>
        <w:tc>
          <w:tcPr>
            <w:tcW w:w="588" w:type="dxa"/>
            <w:vMerge w:val="continue"/>
            <w:noWrap/>
            <w:vAlign w:val="center"/>
          </w:tcPr>
          <w:p w14:paraId="5DE57489">
            <w:pPr>
              <w:widowControl/>
              <w:spacing w:line="400" w:lineRule="exact"/>
              <w:jc w:val="left"/>
              <w:rPr>
                <w:kern w:val="0"/>
                <w:sz w:val="24"/>
              </w:rPr>
            </w:pPr>
          </w:p>
        </w:tc>
        <w:tc>
          <w:tcPr>
            <w:tcW w:w="518" w:type="dxa"/>
            <w:noWrap/>
            <w:vAlign w:val="center"/>
          </w:tcPr>
          <w:p w14:paraId="6A9D3ED4">
            <w:pPr>
              <w:widowControl/>
              <w:spacing w:before="100" w:beforeAutospacing="1" w:after="100" w:afterAutospacing="1" w:line="400" w:lineRule="exact"/>
              <w:jc w:val="center"/>
              <w:rPr>
                <w:kern w:val="0"/>
                <w:sz w:val="24"/>
              </w:rPr>
            </w:pPr>
            <w:r>
              <w:rPr>
                <w:kern w:val="0"/>
                <w:sz w:val="24"/>
              </w:rPr>
              <w:t>10</w:t>
            </w:r>
          </w:p>
        </w:tc>
        <w:tc>
          <w:tcPr>
            <w:tcW w:w="3907" w:type="dxa"/>
            <w:noWrap/>
            <w:vAlign w:val="center"/>
          </w:tcPr>
          <w:p w14:paraId="5363171A">
            <w:pPr>
              <w:widowControl/>
              <w:spacing w:before="100" w:beforeAutospacing="1" w:after="100" w:afterAutospacing="1" w:line="400" w:lineRule="exact"/>
              <w:jc w:val="left"/>
              <w:rPr>
                <w:kern w:val="0"/>
                <w:sz w:val="24"/>
              </w:rPr>
            </w:pPr>
            <w:r>
              <w:rPr>
                <w:kern w:val="0"/>
                <w:sz w:val="24"/>
              </w:rPr>
              <w:t xml:space="preserve">农业科技进步贡献率（%） </w:t>
            </w:r>
          </w:p>
        </w:tc>
        <w:tc>
          <w:tcPr>
            <w:tcW w:w="881" w:type="dxa"/>
            <w:noWrap/>
            <w:vAlign w:val="center"/>
          </w:tcPr>
          <w:p w14:paraId="36DA351B">
            <w:pPr>
              <w:widowControl/>
              <w:spacing w:before="100" w:beforeAutospacing="1" w:after="100" w:afterAutospacing="1" w:line="400" w:lineRule="exact"/>
              <w:jc w:val="center"/>
              <w:rPr>
                <w:kern w:val="0"/>
                <w:sz w:val="24"/>
              </w:rPr>
            </w:pPr>
            <w:r>
              <w:rPr>
                <w:kern w:val="0"/>
                <w:sz w:val="24"/>
              </w:rPr>
              <w:t>62.7</w:t>
            </w:r>
          </w:p>
        </w:tc>
        <w:tc>
          <w:tcPr>
            <w:tcW w:w="952" w:type="dxa"/>
            <w:noWrap/>
            <w:vAlign w:val="center"/>
          </w:tcPr>
          <w:p w14:paraId="65A316F3">
            <w:pPr>
              <w:widowControl/>
              <w:spacing w:before="100" w:beforeAutospacing="1" w:after="100" w:afterAutospacing="1" w:line="400" w:lineRule="exact"/>
              <w:jc w:val="center"/>
              <w:rPr>
                <w:kern w:val="0"/>
                <w:sz w:val="24"/>
              </w:rPr>
            </w:pPr>
            <w:r>
              <w:rPr>
                <w:kern w:val="0"/>
                <w:sz w:val="24"/>
              </w:rPr>
              <w:t>67.5</w:t>
            </w:r>
          </w:p>
        </w:tc>
        <w:tc>
          <w:tcPr>
            <w:tcW w:w="966" w:type="dxa"/>
            <w:noWrap/>
            <w:vAlign w:val="center"/>
          </w:tcPr>
          <w:p w14:paraId="301DBA17">
            <w:pPr>
              <w:widowControl/>
              <w:spacing w:before="100" w:beforeAutospacing="1" w:after="100" w:afterAutospacing="1" w:line="400" w:lineRule="exact"/>
              <w:jc w:val="center"/>
              <w:rPr>
                <w:kern w:val="0"/>
                <w:sz w:val="24"/>
              </w:rPr>
            </w:pPr>
            <w:r>
              <w:rPr>
                <w:kern w:val="0"/>
                <w:sz w:val="24"/>
              </w:rPr>
              <w:t>[4.8]</w:t>
            </w:r>
          </w:p>
        </w:tc>
        <w:tc>
          <w:tcPr>
            <w:tcW w:w="1059" w:type="dxa"/>
            <w:noWrap/>
            <w:vAlign w:val="center"/>
          </w:tcPr>
          <w:p w14:paraId="729592FD">
            <w:pPr>
              <w:widowControl/>
              <w:spacing w:before="100" w:beforeAutospacing="1" w:after="100" w:afterAutospacing="1" w:line="400" w:lineRule="exact"/>
              <w:jc w:val="center"/>
              <w:rPr>
                <w:kern w:val="0"/>
                <w:sz w:val="24"/>
              </w:rPr>
            </w:pPr>
            <w:r>
              <w:rPr>
                <w:kern w:val="0"/>
                <w:sz w:val="24"/>
              </w:rPr>
              <w:t xml:space="preserve">预期性 </w:t>
            </w:r>
          </w:p>
        </w:tc>
      </w:tr>
      <w:tr w14:paraId="21EA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0BCECC99">
            <w:pPr>
              <w:widowControl/>
              <w:spacing w:line="400" w:lineRule="exact"/>
              <w:jc w:val="left"/>
              <w:rPr>
                <w:kern w:val="0"/>
                <w:sz w:val="24"/>
              </w:rPr>
            </w:pPr>
          </w:p>
        </w:tc>
        <w:tc>
          <w:tcPr>
            <w:tcW w:w="518" w:type="dxa"/>
            <w:noWrap/>
            <w:vAlign w:val="center"/>
          </w:tcPr>
          <w:p w14:paraId="1E19D73C">
            <w:pPr>
              <w:widowControl/>
              <w:spacing w:before="100" w:beforeAutospacing="1" w:after="100" w:afterAutospacing="1" w:line="400" w:lineRule="exact"/>
              <w:jc w:val="center"/>
              <w:rPr>
                <w:kern w:val="0"/>
                <w:sz w:val="24"/>
              </w:rPr>
            </w:pPr>
            <w:r>
              <w:rPr>
                <w:kern w:val="0"/>
                <w:sz w:val="24"/>
              </w:rPr>
              <w:t>11</w:t>
            </w:r>
          </w:p>
        </w:tc>
        <w:tc>
          <w:tcPr>
            <w:tcW w:w="3907" w:type="dxa"/>
            <w:noWrap/>
            <w:vAlign w:val="center"/>
          </w:tcPr>
          <w:p w14:paraId="0BE853AE">
            <w:pPr>
              <w:widowControl/>
              <w:spacing w:before="100" w:beforeAutospacing="1" w:after="100" w:afterAutospacing="1" w:line="400" w:lineRule="exact"/>
              <w:jc w:val="left"/>
              <w:rPr>
                <w:kern w:val="0"/>
                <w:sz w:val="24"/>
              </w:rPr>
            </w:pPr>
            <w:r>
              <w:rPr>
                <w:kern w:val="0"/>
                <w:sz w:val="24"/>
              </w:rPr>
              <w:t xml:space="preserve">主要农作物耕种收综合机械化率（%） </w:t>
            </w:r>
          </w:p>
        </w:tc>
        <w:tc>
          <w:tcPr>
            <w:tcW w:w="881" w:type="dxa"/>
            <w:noWrap/>
            <w:vAlign w:val="center"/>
          </w:tcPr>
          <w:p w14:paraId="3E09B8CA">
            <w:pPr>
              <w:widowControl/>
              <w:spacing w:before="100" w:beforeAutospacing="1" w:after="100" w:afterAutospacing="1" w:line="400" w:lineRule="exact"/>
              <w:jc w:val="center"/>
              <w:rPr>
                <w:kern w:val="0"/>
                <w:sz w:val="24"/>
              </w:rPr>
            </w:pPr>
            <w:r>
              <w:rPr>
                <w:kern w:val="0"/>
                <w:sz w:val="24"/>
              </w:rPr>
              <w:t>86</w:t>
            </w:r>
          </w:p>
        </w:tc>
        <w:tc>
          <w:tcPr>
            <w:tcW w:w="952" w:type="dxa"/>
            <w:noWrap/>
            <w:vAlign w:val="center"/>
          </w:tcPr>
          <w:p w14:paraId="43ECEFD5">
            <w:pPr>
              <w:widowControl/>
              <w:spacing w:before="100" w:beforeAutospacing="1" w:after="100" w:afterAutospacing="1" w:line="400" w:lineRule="exact"/>
              <w:jc w:val="center"/>
              <w:rPr>
                <w:kern w:val="0"/>
                <w:sz w:val="24"/>
              </w:rPr>
            </w:pPr>
            <w:r>
              <w:rPr>
                <w:kern w:val="0"/>
                <w:sz w:val="24"/>
              </w:rPr>
              <w:t>90</w:t>
            </w:r>
          </w:p>
        </w:tc>
        <w:tc>
          <w:tcPr>
            <w:tcW w:w="966" w:type="dxa"/>
            <w:noWrap/>
            <w:vAlign w:val="center"/>
          </w:tcPr>
          <w:p w14:paraId="2E5A19DD">
            <w:pPr>
              <w:widowControl/>
              <w:spacing w:before="100" w:beforeAutospacing="1" w:after="100" w:afterAutospacing="1" w:line="400" w:lineRule="exact"/>
              <w:jc w:val="center"/>
              <w:rPr>
                <w:kern w:val="0"/>
                <w:sz w:val="24"/>
              </w:rPr>
            </w:pPr>
            <w:r>
              <w:rPr>
                <w:kern w:val="0"/>
                <w:sz w:val="24"/>
              </w:rPr>
              <w:t>[4]</w:t>
            </w:r>
          </w:p>
        </w:tc>
        <w:tc>
          <w:tcPr>
            <w:tcW w:w="1059" w:type="dxa"/>
            <w:noWrap/>
            <w:vAlign w:val="center"/>
          </w:tcPr>
          <w:p w14:paraId="2B11FC9E">
            <w:pPr>
              <w:widowControl/>
              <w:spacing w:before="100" w:beforeAutospacing="1" w:after="100" w:afterAutospacing="1" w:line="400" w:lineRule="exact"/>
              <w:jc w:val="center"/>
              <w:rPr>
                <w:kern w:val="0"/>
                <w:sz w:val="24"/>
              </w:rPr>
            </w:pPr>
            <w:r>
              <w:rPr>
                <w:kern w:val="0"/>
                <w:sz w:val="24"/>
              </w:rPr>
              <w:t xml:space="preserve">约束性 </w:t>
            </w:r>
          </w:p>
        </w:tc>
      </w:tr>
      <w:tr w14:paraId="7EC27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6199BE77">
            <w:pPr>
              <w:widowControl/>
              <w:spacing w:line="400" w:lineRule="exact"/>
              <w:jc w:val="left"/>
              <w:rPr>
                <w:kern w:val="0"/>
                <w:sz w:val="24"/>
              </w:rPr>
            </w:pPr>
          </w:p>
        </w:tc>
        <w:tc>
          <w:tcPr>
            <w:tcW w:w="518" w:type="dxa"/>
            <w:noWrap/>
            <w:vAlign w:val="center"/>
          </w:tcPr>
          <w:p w14:paraId="771B6A58">
            <w:pPr>
              <w:widowControl/>
              <w:spacing w:before="100" w:beforeAutospacing="1" w:after="100" w:afterAutospacing="1" w:line="400" w:lineRule="exact"/>
              <w:jc w:val="center"/>
              <w:rPr>
                <w:kern w:val="0"/>
                <w:sz w:val="24"/>
              </w:rPr>
            </w:pPr>
            <w:r>
              <w:rPr>
                <w:kern w:val="0"/>
                <w:sz w:val="24"/>
              </w:rPr>
              <w:t>12</w:t>
            </w:r>
          </w:p>
        </w:tc>
        <w:tc>
          <w:tcPr>
            <w:tcW w:w="3907" w:type="dxa"/>
            <w:noWrap/>
            <w:vAlign w:val="center"/>
          </w:tcPr>
          <w:p w14:paraId="7F01573A">
            <w:pPr>
              <w:widowControl/>
              <w:spacing w:before="100" w:beforeAutospacing="1" w:after="100" w:afterAutospacing="1" w:line="400" w:lineRule="exact"/>
              <w:jc w:val="left"/>
              <w:rPr>
                <w:kern w:val="0"/>
                <w:sz w:val="24"/>
              </w:rPr>
            </w:pPr>
            <w:r>
              <w:rPr>
                <w:kern w:val="0"/>
                <w:sz w:val="24"/>
              </w:rPr>
              <w:t xml:space="preserve">主要农作物秸秆综合利用率（%） </w:t>
            </w:r>
          </w:p>
        </w:tc>
        <w:tc>
          <w:tcPr>
            <w:tcW w:w="881" w:type="dxa"/>
            <w:noWrap/>
            <w:vAlign w:val="center"/>
          </w:tcPr>
          <w:p w14:paraId="7EA1CA5C">
            <w:pPr>
              <w:widowControl/>
              <w:spacing w:before="100" w:beforeAutospacing="1" w:after="100" w:afterAutospacing="1" w:line="400" w:lineRule="exact"/>
              <w:jc w:val="center"/>
              <w:rPr>
                <w:kern w:val="0"/>
                <w:sz w:val="24"/>
              </w:rPr>
            </w:pPr>
            <w:r>
              <w:rPr>
                <w:kern w:val="0"/>
                <w:sz w:val="24"/>
              </w:rPr>
              <w:t>93</w:t>
            </w:r>
          </w:p>
        </w:tc>
        <w:tc>
          <w:tcPr>
            <w:tcW w:w="952" w:type="dxa"/>
            <w:noWrap/>
            <w:vAlign w:val="center"/>
          </w:tcPr>
          <w:p w14:paraId="10A6287E">
            <w:pPr>
              <w:widowControl/>
              <w:spacing w:before="100" w:beforeAutospacing="1" w:after="100" w:afterAutospacing="1" w:line="400" w:lineRule="exact"/>
              <w:jc w:val="center"/>
              <w:rPr>
                <w:kern w:val="0"/>
                <w:sz w:val="24"/>
              </w:rPr>
            </w:pPr>
            <w:r>
              <w:rPr>
                <w:kern w:val="0"/>
                <w:sz w:val="24"/>
              </w:rPr>
              <w:t>&gt;93</w:t>
            </w:r>
          </w:p>
        </w:tc>
        <w:tc>
          <w:tcPr>
            <w:tcW w:w="966" w:type="dxa"/>
            <w:noWrap/>
            <w:vAlign w:val="center"/>
          </w:tcPr>
          <w:p w14:paraId="6ABD3A3C">
            <w:pPr>
              <w:widowControl/>
              <w:spacing w:before="100" w:beforeAutospacing="1" w:after="100" w:afterAutospacing="1" w:line="400" w:lineRule="exact"/>
              <w:jc w:val="center"/>
              <w:rPr>
                <w:kern w:val="0"/>
                <w:sz w:val="24"/>
              </w:rPr>
            </w:pPr>
          </w:p>
        </w:tc>
        <w:tc>
          <w:tcPr>
            <w:tcW w:w="1059" w:type="dxa"/>
            <w:noWrap/>
            <w:vAlign w:val="center"/>
          </w:tcPr>
          <w:p w14:paraId="66687845">
            <w:pPr>
              <w:widowControl/>
              <w:spacing w:before="100" w:beforeAutospacing="1" w:after="100" w:afterAutospacing="1" w:line="400" w:lineRule="exact"/>
              <w:jc w:val="center"/>
              <w:rPr>
                <w:kern w:val="0"/>
                <w:sz w:val="24"/>
              </w:rPr>
            </w:pPr>
            <w:r>
              <w:rPr>
                <w:kern w:val="0"/>
                <w:sz w:val="24"/>
              </w:rPr>
              <w:t xml:space="preserve">约束性 </w:t>
            </w:r>
          </w:p>
        </w:tc>
      </w:tr>
      <w:tr w14:paraId="6AD36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16B3AC3A">
            <w:pPr>
              <w:widowControl/>
              <w:spacing w:line="400" w:lineRule="exact"/>
              <w:jc w:val="left"/>
              <w:rPr>
                <w:kern w:val="0"/>
                <w:sz w:val="24"/>
              </w:rPr>
            </w:pPr>
          </w:p>
        </w:tc>
        <w:tc>
          <w:tcPr>
            <w:tcW w:w="518" w:type="dxa"/>
            <w:noWrap/>
            <w:vAlign w:val="center"/>
          </w:tcPr>
          <w:p w14:paraId="629E6803">
            <w:pPr>
              <w:widowControl/>
              <w:spacing w:before="100" w:beforeAutospacing="1" w:after="100" w:afterAutospacing="1" w:line="400" w:lineRule="exact"/>
              <w:jc w:val="center"/>
              <w:rPr>
                <w:kern w:val="0"/>
                <w:sz w:val="24"/>
              </w:rPr>
            </w:pPr>
            <w:r>
              <w:rPr>
                <w:kern w:val="0"/>
                <w:sz w:val="24"/>
              </w:rPr>
              <w:t>13</w:t>
            </w:r>
          </w:p>
        </w:tc>
        <w:tc>
          <w:tcPr>
            <w:tcW w:w="3907" w:type="dxa"/>
            <w:noWrap/>
            <w:vAlign w:val="center"/>
          </w:tcPr>
          <w:p w14:paraId="7730D5E0">
            <w:pPr>
              <w:widowControl/>
              <w:spacing w:before="100" w:beforeAutospacing="1" w:after="100" w:afterAutospacing="1" w:line="400" w:lineRule="exact"/>
              <w:jc w:val="left"/>
              <w:rPr>
                <w:kern w:val="0"/>
                <w:sz w:val="24"/>
              </w:rPr>
            </w:pPr>
            <w:r>
              <w:rPr>
                <w:kern w:val="0"/>
                <w:sz w:val="24"/>
              </w:rPr>
              <w:t xml:space="preserve">畜禽粪污综合利用率（%） </w:t>
            </w:r>
          </w:p>
        </w:tc>
        <w:tc>
          <w:tcPr>
            <w:tcW w:w="881" w:type="dxa"/>
            <w:noWrap/>
            <w:vAlign w:val="center"/>
          </w:tcPr>
          <w:p w14:paraId="78833618">
            <w:pPr>
              <w:widowControl/>
              <w:spacing w:before="100" w:beforeAutospacing="1" w:after="100" w:afterAutospacing="1" w:line="400" w:lineRule="exact"/>
              <w:jc w:val="center"/>
              <w:rPr>
                <w:kern w:val="0"/>
                <w:sz w:val="24"/>
              </w:rPr>
            </w:pPr>
            <w:r>
              <w:rPr>
                <w:kern w:val="0"/>
                <w:sz w:val="24"/>
              </w:rPr>
              <w:t>90</w:t>
            </w:r>
          </w:p>
        </w:tc>
        <w:tc>
          <w:tcPr>
            <w:tcW w:w="952" w:type="dxa"/>
            <w:noWrap/>
            <w:vAlign w:val="center"/>
          </w:tcPr>
          <w:p w14:paraId="0DBC9065">
            <w:pPr>
              <w:widowControl/>
              <w:spacing w:before="100" w:beforeAutospacing="1" w:after="100" w:afterAutospacing="1" w:line="400" w:lineRule="exact"/>
              <w:jc w:val="center"/>
              <w:rPr>
                <w:kern w:val="0"/>
                <w:sz w:val="24"/>
              </w:rPr>
            </w:pPr>
            <w:r>
              <w:rPr>
                <w:kern w:val="0"/>
                <w:sz w:val="24"/>
              </w:rPr>
              <w:t>93</w:t>
            </w:r>
          </w:p>
        </w:tc>
        <w:tc>
          <w:tcPr>
            <w:tcW w:w="966" w:type="dxa"/>
            <w:noWrap/>
            <w:vAlign w:val="center"/>
          </w:tcPr>
          <w:p w14:paraId="5041F134">
            <w:pPr>
              <w:widowControl/>
              <w:spacing w:before="100" w:beforeAutospacing="1" w:after="100" w:afterAutospacing="1" w:line="400" w:lineRule="exact"/>
              <w:jc w:val="center"/>
              <w:rPr>
                <w:kern w:val="0"/>
                <w:sz w:val="24"/>
              </w:rPr>
            </w:pPr>
            <w:r>
              <w:rPr>
                <w:kern w:val="0"/>
                <w:sz w:val="24"/>
              </w:rPr>
              <w:t>[3]</w:t>
            </w:r>
          </w:p>
        </w:tc>
        <w:tc>
          <w:tcPr>
            <w:tcW w:w="1059" w:type="dxa"/>
            <w:noWrap/>
            <w:vAlign w:val="center"/>
          </w:tcPr>
          <w:p w14:paraId="2A83100D">
            <w:pPr>
              <w:widowControl/>
              <w:spacing w:before="100" w:beforeAutospacing="1" w:after="100" w:afterAutospacing="1" w:line="400" w:lineRule="exact"/>
              <w:jc w:val="center"/>
              <w:rPr>
                <w:kern w:val="0"/>
                <w:sz w:val="24"/>
              </w:rPr>
            </w:pPr>
            <w:r>
              <w:rPr>
                <w:kern w:val="0"/>
                <w:sz w:val="24"/>
              </w:rPr>
              <w:t xml:space="preserve">约束性 </w:t>
            </w:r>
          </w:p>
        </w:tc>
      </w:tr>
      <w:tr w14:paraId="118F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6218FB6F">
            <w:pPr>
              <w:widowControl/>
              <w:spacing w:line="400" w:lineRule="exact"/>
              <w:jc w:val="left"/>
              <w:rPr>
                <w:kern w:val="0"/>
                <w:sz w:val="24"/>
              </w:rPr>
            </w:pPr>
          </w:p>
        </w:tc>
        <w:tc>
          <w:tcPr>
            <w:tcW w:w="518" w:type="dxa"/>
            <w:noWrap/>
            <w:vAlign w:val="center"/>
          </w:tcPr>
          <w:p w14:paraId="449B6B1C">
            <w:pPr>
              <w:widowControl/>
              <w:spacing w:before="100" w:beforeAutospacing="1" w:after="100" w:afterAutospacing="1" w:line="400" w:lineRule="exact"/>
              <w:jc w:val="center"/>
              <w:rPr>
                <w:kern w:val="0"/>
                <w:sz w:val="24"/>
              </w:rPr>
            </w:pPr>
            <w:r>
              <w:rPr>
                <w:kern w:val="0"/>
                <w:sz w:val="24"/>
              </w:rPr>
              <w:t>14</w:t>
            </w:r>
          </w:p>
        </w:tc>
        <w:tc>
          <w:tcPr>
            <w:tcW w:w="3907" w:type="dxa"/>
            <w:noWrap/>
            <w:vAlign w:val="center"/>
          </w:tcPr>
          <w:p w14:paraId="250BE0C4">
            <w:pPr>
              <w:widowControl/>
              <w:spacing w:before="100" w:beforeAutospacing="1" w:after="100" w:afterAutospacing="1"/>
              <w:jc w:val="left"/>
              <w:rPr>
                <w:spacing w:val="-10"/>
                <w:kern w:val="0"/>
                <w:sz w:val="24"/>
              </w:rPr>
            </w:pPr>
            <w:r>
              <w:rPr>
                <w:spacing w:val="-10"/>
                <w:kern w:val="0"/>
                <w:sz w:val="24"/>
              </w:rPr>
              <w:t xml:space="preserve">农产品质量安全例行监测总体合格率（%） </w:t>
            </w:r>
          </w:p>
        </w:tc>
        <w:tc>
          <w:tcPr>
            <w:tcW w:w="881" w:type="dxa"/>
            <w:noWrap/>
            <w:vAlign w:val="center"/>
          </w:tcPr>
          <w:p w14:paraId="616DA440">
            <w:pPr>
              <w:widowControl/>
              <w:spacing w:before="100" w:beforeAutospacing="1" w:after="100" w:afterAutospacing="1" w:line="400" w:lineRule="exact"/>
              <w:jc w:val="center"/>
              <w:rPr>
                <w:kern w:val="0"/>
                <w:sz w:val="24"/>
              </w:rPr>
            </w:pPr>
            <w:r>
              <w:rPr>
                <w:kern w:val="0"/>
                <w:sz w:val="24"/>
              </w:rPr>
              <w:t>98</w:t>
            </w:r>
          </w:p>
        </w:tc>
        <w:tc>
          <w:tcPr>
            <w:tcW w:w="952" w:type="dxa"/>
            <w:noWrap/>
            <w:vAlign w:val="center"/>
          </w:tcPr>
          <w:p w14:paraId="16A81D9D">
            <w:pPr>
              <w:widowControl/>
              <w:spacing w:before="100" w:beforeAutospacing="1" w:after="100" w:afterAutospacing="1" w:line="400" w:lineRule="exact"/>
              <w:jc w:val="center"/>
              <w:rPr>
                <w:kern w:val="0"/>
                <w:sz w:val="24"/>
              </w:rPr>
            </w:pPr>
            <w:r>
              <w:rPr>
                <w:kern w:val="0"/>
                <w:sz w:val="24"/>
              </w:rPr>
              <w:t>&gt;98</w:t>
            </w:r>
          </w:p>
        </w:tc>
        <w:tc>
          <w:tcPr>
            <w:tcW w:w="966" w:type="dxa"/>
            <w:noWrap/>
            <w:vAlign w:val="center"/>
          </w:tcPr>
          <w:p w14:paraId="1006FA3A">
            <w:pPr>
              <w:widowControl/>
              <w:spacing w:before="100" w:beforeAutospacing="1" w:after="100" w:afterAutospacing="1" w:line="400" w:lineRule="exact"/>
              <w:jc w:val="center"/>
              <w:rPr>
                <w:kern w:val="0"/>
                <w:sz w:val="24"/>
              </w:rPr>
            </w:pPr>
            <w:r>
              <w:rPr>
                <w:kern w:val="0"/>
                <w:sz w:val="24"/>
              </w:rPr>
              <w:t>－</w:t>
            </w:r>
          </w:p>
        </w:tc>
        <w:tc>
          <w:tcPr>
            <w:tcW w:w="1059" w:type="dxa"/>
            <w:noWrap/>
            <w:vAlign w:val="center"/>
          </w:tcPr>
          <w:p w14:paraId="3FFE79A2">
            <w:pPr>
              <w:widowControl/>
              <w:spacing w:before="100" w:beforeAutospacing="1" w:after="100" w:afterAutospacing="1" w:line="400" w:lineRule="exact"/>
              <w:jc w:val="center"/>
              <w:rPr>
                <w:kern w:val="0"/>
                <w:sz w:val="24"/>
              </w:rPr>
            </w:pPr>
            <w:r>
              <w:rPr>
                <w:kern w:val="0"/>
                <w:sz w:val="24"/>
              </w:rPr>
              <w:t xml:space="preserve">预期性 </w:t>
            </w:r>
          </w:p>
        </w:tc>
      </w:tr>
      <w:tr w14:paraId="58FF1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88" w:type="dxa"/>
            <w:vMerge w:val="continue"/>
            <w:noWrap/>
            <w:vAlign w:val="center"/>
          </w:tcPr>
          <w:p w14:paraId="5FDA9C43">
            <w:pPr>
              <w:widowControl/>
              <w:spacing w:line="400" w:lineRule="exact"/>
              <w:jc w:val="left"/>
              <w:rPr>
                <w:kern w:val="0"/>
                <w:sz w:val="24"/>
              </w:rPr>
            </w:pPr>
          </w:p>
        </w:tc>
        <w:tc>
          <w:tcPr>
            <w:tcW w:w="518" w:type="dxa"/>
            <w:noWrap/>
            <w:vAlign w:val="center"/>
          </w:tcPr>
          <w:p w14:paraId="469FBE52">
            <w:pPr>
              <w:widowControl/>
              <w:spacing w:before="100" w:beforeAutospacing="1" w:after="100" w:afterAutospacing="1" w:line="400" w:lineRule="exact"/>
              <w:jc w:val="center"/>
              <w:rPr>
                <w:kern w:val="0"/>
                <w:sz w:val="24"/>
              </w:rPr>
            </w:pPr>
            <w:r>
              <w:rPr>
                <w:kern w:val="0"/>
                <w:sz w:val="24"/>
              </w:rPr>
              <w:t>15</w:t>
            </w:r>
          </w:p>
        </w:tc>
        <w:tc>
          <w:tcPr>
            <w:tcW w:w="3907" w:type="dxa"/>
            <w:noWrap/>
            <w:vAlign w:val="center"/>
          </w:tcPr>
          <w:p w14:paraId="380AC05D">
            <w:pPr>
              <w:widowControl/>
              <w:spacing w:before="100" w:beforeAutospacing="1" w:after="100" w:afterAutospacing="1" w:line="400" w:lineRule="exact"/>
              <w:jc w:val="left"/>
              <w:rPr>
                <w:kern w:val="0"/>
                <w:sz w:val="24"/>
              </w:rPr>
            </w:pPr>
            <w:r>
              <w:rPr>
                <w:kern w:val="0"/>
                <w:sz w:val="24"/>
              </w:rPr>
              <w:t xml:space="preserve">农产品加工业与农业总产值比 </w:t>
            </w:r>
          </w:p>
        </w:tc>
        <w:tc>
          <w:tcPr>
            <w:tcW w:w="881" w:type="dxa"/>
            <w:noWrap/>
            <w:vAlign w:val="center"/>
          </w:tcPr>
          <w:p w14:paraId="69033BAF">
            <w:pPr>
              <w:widowControl/>
              <w:spacing w:before="100" w:beforeAutospacing="1" w:after="100" w:afterAutospacing="1" w:line="400" w:lineRule="exact"/>
              <w:jc w:val="center"/>
              <w:rPr>
                <w:kern w:val="0"/>
                <w:sz w:val="24"/>
              </w:rPr>
            </w:pPr>
            <w:r>
              <w:rPr>
                <w:kern w:val="0"/>
                <w:sz w:val="24"/>
              </w:rPr>
              <w:t>2.2：1</w:t>
            </w:r>
          </w:p>
        </w:tc>
        <w:tc>
          <w:tcPr>
            <w:tcW w:w="952" w:type="dxa"/>
            <w:noWrap/>
            <w:vAlign w:val="center"/>
          </w:tcPr>
          <w:p w14:paraId="38259841">
            <w:pPr>
              <w:widowControl/>
              <w:spacing w:before="100" w:beforeAutospacing="1" w:after="100" w:afterAutospacing="1" w:line="400" w:lineRule="exact"/>
              <w:jc w:val="center"/>
              <w:rPr>
                <w:kern w:val="0"/>
                <w:sz w:val="24"/>
              </w:rPr>
            </w:pPr>
            <w:r>
              <w:rPr>
                <w:kern w:val="0"/>
                <w:sz w:val="24"/>
              </w:rPr>
              <w:t>2.8：1</w:t>
            </w:r>
          </w:p>
        </w:tc>
        <w:tc>
          <w:tcPr>
            <w:tcW w:w="966" w:type="dxa"/>
            <w:noWrap/>
            <w:vAlign w:val="center"/>
          </w:tcPr>
          <w:p w14:paraId="2E66BDEF">
            <w:pPr>
              <w:widowControl/>
              <w:spacing w:before="100" w:beforeAutospacing="1" w:after="100" w:afterAutospacing="1" w:line="400" w:lineRule="exact"/>
              <w:jc w:val="center"/>
              <w:rPr>
                <w:kern w:val="0"/>
                <w:sz w:val="24"/>
              </w:rPr>
            </w:pPr>
            <w:r>
              <w:rPr>
                <w:kern w:val="0"/>
                <w:sz w:val="24"/>
              </w:rPr>
              <w:t>[0.6]</w:t>
            </w:r>
          </w:p>
        </w:tc>
        <w:tc>
          <w:tcPr>
            <w:tcW w:w="1059" w:type="dxa"/>
            <w:noWrap/>
            <w:vAlign w:val="center"/>
          </w:tcPr>
          <w:p w14:paraId="147E91AE">
            <w:pPr>
              <w:widowControl/>
              <w:spacing w:before="100" w:beforeAutospacing="1" w:after="100" w:afterAutospacing="1" w:line="400" w:lineRule="exact"/>
              <w:jc w:val="center"/>
              <w:rPr>
                <w:kern w:val="0"/>
                <w:sz w:val="24"/>
              </w:rPr>
            </w:pPr>
            <w:r>
              <w:rPr>
                <w:kern w:val="0"/>
                <w:sz w:val="24"/>
              </w:rPr>
              <w:t xml:space="preserve">预期性 </w:t>
            </w:r>
          </w:p>
        </w:tc>
      </w:tr>
      <w:tr w14:paraId="556C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588" w:type="dxa"/>
            <w:vMerge w:val="continue"/>
            <w:noWrap/>
            <w:vAlign w:val="center"/>
          </w:tcPr>
          <w:p w14:paraId="7AE5FE8F">
            <w:pPr>
              <w:widowControl/>
              <w:spacing w:line="400" w:lineRule="exact"/>
              <w:jc w:val="left"/>
              <w:rPr>
                <w:kern w:val="0"/>
                <w:sz w:val="24"/>
              </w:rPr>
            </w:pPr>
          </w:p>
        </w:tc>
        <w:tc>
          <w:tcPr>
            <w:tcW w:w="518" w:type="dxa"/>
            <w:noWrap/>
            <w:vAlign w:val="center"/>
          </w:tcPr>
          <w:p w14:paraId="48654363">
            <w:pPr>
              <w:widowControl/>
              <w:spacing w:before="100" w:beforeAutospacing="1" w:after="100" w:afterAutospacing="1" w:line="400" w:lineRule="exact"/>
              <w:jc w:val="center"/>
              <w:rPr>
                <w:kern w:val="0"/>
                <w:sz w:val="24"/>
              </w:rPr>
            </w:pPr>
            <w:r>
              <w:rPr>
                <w:kern w:val="0"/>
                <w:sz w:val="24"/>
              </w:rPr>
              <w:t>16</w:t>
            </w:r>
          </w:p>
        </w:tc>
        <w:tc>
          <w:tcPr>
            <w:tcW w:w="3907" w:type="dxa"/>
            <w:noWrap/>
            <w:vAlign w:val="center"/>
          </w:tcPr>
          <w:p w14:paraId="2DA08905">
            <w:pPr>
              <w:widowControl/>
              <w:spacing w:before="100" w:beforeAutospacing="1" w:after="100" w:afterAutospacing="1" w:line="400" w:lineRule="exact"/>
              <w:jc w:val="left"/>
              <w:rPr>
                <w:spacing w:val="-6"/>
                <w:kern w:val="0"/>
                <w:sz w:val="24"/>
              </w:rPr>
            </w:pPr>
            <w:r>
              <w:rPr>
                <w:spacing w:val="-6"/>
                <w:kern w:val="0"/>
                <w:sz w:val="24"/>
              </w:rPr>
              <w:t xml:space="preserve">休闲农业与乡村旅游年营业收入（亿元） </w:t>
            </w:r>
          </w:p>
        </w:tc>
        <w:tc>
          <w:tcPr>
            <w:tcW w:w="881" w:type="dxa"/>
            <w:noWrap/>
            <w:vAlign w:val="center"/>
          </w:tcPr>
          <w:p w14:paraId="343055D8">
            <w:pPr>
              <w:widowControl/>
              <w:spacing w:before="100" w:beforeAutospacing="1" w:after="100" w:afterAutospacing="1" w:line="400" w:lineRule="exact"/>
              <w:jc w:val="center"/>
              <w:rPr>
                <w:kern w:val="0"/>
                <w:sz w:val="24"/>
              </w:rPr>
            </w:pPr>
            <w:r>
              <w:rPr>
                <w:kern w:val="0"/>
                <w:sz w:val="24"/>
              </w:rPr>
              <w:t>10</w:t>
            </w:r>
          </w:p>
        </w:tc>
        <w:tc>
          <w:tcPr>
            <w:tcW w:w="952" w:type="dxa"/>
            <w:noWrap/>
            <w:vAlign w:val="center"/>
          </w:tcPr>
          <w:p w14:paraId="2C21E630">
            <w:pPr>
              <w:widowControl/>
              <w:spacing w:before="100" w:beforeAutospacing="1" w:after="100" w:afterAutospacing="1" w:line="400" w:lineRule="exact"/>
              <w:jc w:val="center"/>
              <w:rPr>
                <w:kern w:val="0"/>
                <w:sz w:val="24"/>
              </w:rPr>
            </w:pPr>
            <w:r>
              <w:rPr>
                <w:kern w:val="0"/>
                <w:sz w:val="24"/>
              </w:rPr>
              <w:t>14</w:t>
            </w:r>
          </w:p>
        </w:tc>
        <w:tc>
          <w:tcPr>
            <w:tcW w:w="966" w:type="dxa"/>
            <w:noWrap/>
            <w:vAlign w:val="center"/>
          </w:tcPr>
          <w:p w14:paraId="619B9988">
            <w:pPr>
              <w:widowControl/>
              <w:spacing w:before="100" w:beforeAutospacing="1" w:after="100" w:afterAutospacing="1" w:line="400" w:lineRule="exact"/>
              <w:jc w:val="center"/>
              <w:rPr>
                <w:kern w:val="0"/>
                <w:sz w:val="24"/>
              </w:rPr>
            </w:pPr>
            <w:r>
              <w:rPr>
                <w:kern w:val="0"/>
                <w:sz w:val="24"/>
              </w:rPr>
              <w:t>7.0%</w:t>
            </w:r>
          </w:p>
        </w:tc>
        <w:tc>
          <w:tcPr>
            <w:tcW w:w="1059" w:type="dxa"/>
            <w:noWrap/>
            <w:vAlign w:val="center"/>
          </w:tcPr>
          <w:p w14:paraId="3381375D">
            <w:pPr>
              <w:widowControl/>
              <w:spacing w:before="100" w:beforeAutospacing="1" w:after="100" w:afterAutospacing="1" w:line="400" w:lineRule="exact"/>
              <w:jc w:val="center"/>
              <w:rPr>
                <w:kern w:val="0"/>
                <w:sz w:val="24"/>
              </w:rPr>
            </w:pPr>
            <w:r>
              <w:rPr>
                <w:kern w:val="0"/>
                <w:sz w:val="24"/>
              </w:rPr>
              <w:t xml:space="preserve">预期性 </w:t>
            </w:r>
          </w:p>
        </w:tc>
      </w:tr>
      <w:tr w14:paraId="33135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jc w:val="center"/>
        </w:trPr>
        <w:tc>
          <w:tcPr>
            <w:tcW w:w="588" w:type="dxa"/>
            <w:vMerge w:val="continue"/>
            <w:noWrap/>
            <w:vAlign w:val="center"/>
          </w:tcPr>
          <w:p w14:paraId="64C5EDFD">
            <w:pPr>
              <w:widowControl/>
              <w:spacing w:line="400" w:lineRule="exact"/>
              <w:jc w:val="left"/>
              <w:rPr>
                <w:kern w:val="0"/>
                <w:sz w:val="24"/>
              </w:rPr>
            </w:pPr>
          </w:p>
        </w:tc>
        <w:tc>
          <w:tcPr>
            <w:tcW w:w="518" w:type="dxa"/>
            <w:noWrap/>
            <w:vAlign w:val="center"/>
          </w:tcPr>
          <w:p w14:paraId="2A92323C">
            <w:pPr>
              <w:widowControl/>
              <w:spacing w:before="100" w:beforeAutospacing="1" w:after="100" w:afterAutospacing="1" w:line="400" w:lineRule="exact"/>
              <w:jc w:val="center"/>
              <w:rPr>
                <w:kern w:val="0"/>
                <w:sz w:val="24"/>
              </w:rPr>
            </w:pPr>
            <w:r>
              <w:rPr>
                <w:kern w:val="0"/>
                <w:sz w:val="24"/>
              </w:rPr>
              <w:t>17</w:t>
            </w:r>
          </w:p>
        </w:tc>
        <w:tc>
          <w:tcPr>
            <w:tcW w:w="3907" w:type="dxa"/>
            <w:noWrap/>
            <w:vAlign w:val="center"/>
          </w:tcPr>
          <w:p w14:paraId="084B9FD0">
            <w:pPr>
              <w:widowControl/>
              <w:spacing w:before="100" w:beforeAutospacing="1" w:after="100" w:afterAutospacing="1" w:line="400" w:lineRule="exact"/>
              <w:jc w:val="left"/>
              <w:rPr>
                <w:kern w:val="0"/>
                <w:sz w:val="24"/>
              </w:rPr>
            </w:pPr>
            <w:r>
              <w:rPr>
                <w:kern w:val="0"/>
                <w:sz w:val="24"/>
              </w:rPr>
              <w:t>农产品网络销售额（亿元）</w:t>
            </w:r>
          </w:p>
        </w:tc>
        <w:tc>
          <w:tcPr>
            <w:tcW w:w="881" w:type="dxa"/>
            <w:noWrap/>
            <w:vAlign w:val="center"/>
          </w:tcPr>
          <w:p w14:paraId="1BE34B16">
            <w:pPr>
              <w:widowControl/>
              <w:spacing w:before="100" w:beforeAutospacing="1" w:after="100" w:afterAutospacing="1" w:line="400" w:lineRule="exact"/>
              <w:jc w:val="center"/>
              <w:rPr>
                <w:kern w:val="0"/>
                <w:sz w:val="24"/>
              </w:rPr>
            </w:pPr>
            <w:r>
              <w:rPr>
                <w:kern w:val="0"/>
                <w:sz w:val="24"/>
              </w:rPr>
              <w:t>22.4</w:t>
            </w:r>
          </w:p>
        </w:tc>
        <w:tc>
          <w:tcPr>
            <w:tcW w:w="952" w:type="dxa"/>
            <w:noWrap/>
            <w:vAlign w:val="center"/>
          </w:tcPr>
          <w:p w14:paraId="75985C6A">
            <w:pPr>
              <w:widowControl/>
              <w:spacing w:before="100" w:beforeAutospacing="1" w:after="100" w:afterAutospacing="1" w:line="400" w:lineRule="exact"/>
              <w:jc w:val="center"/>
              <w:rPr>
                <w:kern w:val="0"/>
                <w:sz w:val="24"/>
              </w:rPr>
            </w:pPr>
            <w:r>
              <w:rPr>
                <w:kern w:val="0"/>
                <w:sz w:val="24"/>
              </w:rPr>
              <w:t>50</w:t>
            </w:r>
          </w:p>
        </w:tc>
        <w:tc>
          <w:tcPr>
            <w:tcW w:w="966" w:type="dxa"/>
            <w:noWrap/>
            <w:vAlign w:val="center"/>
          </w:tcPr>
          <w:p w14:paraId="3080FEF4">
            <w:pPr>
              <w:widowControl/>
              <w:spacing w:before="100" w:beforeAutospacing="1" w:after="100" w:afterAutospacing="1" w:line="400" w:lineRule="exact"/>
              <w:jc w:val="center"/>
              <w:rPr>
                <w:kern w:val="0"/>
                <w:sz w:val="24"/>
              </w:rPr>
            </w:pPr>
            <w:r>
              <w:rPr>
                <w:kern w:val="0"/>
                <w:sz w:val="24"/>
              </w:rPr>
              <w:t>17.4%</w:t>
            </w:r>
          </w:p>
        </w:tc>
        <w:tc>
          <w:tcPr>
            <w:tcW w:w="1059" w:type="dxa"/>
            <w:noWrap/>
            <w:vAlign w:val="center"/>
          </w:tcPr>
          <w:p w14:paraId="5FBD84DF">
            <w:pPr>
              <w:widowControl/>
              <w:spacing w:before="100" w:beforeAutospacing="1" w:after="100" w:afterAutospacing="1" w:line="400" w:lineRule="exact"/>
              <w:jc w:val="center"/>
              <w:rPr>
                <w:kern w:val="0"/>
                <w:sz w:val="24"/>
              </w:rPr>
            </w:pPr>
            <w:r>
              <w:rPr>
                <w:kern w:val="0"/>
                <w:sz w:val="24"/>
              </w:rPr>
              <w:t>预期性</w:t>
            </w:r>
          </w:p>
        </w:tc>
      </w:tr>
      <w:tr w14:paraId="7B9EC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88" w:type="dxa"/>
            <w:vMerge w:val="continue"/>
            <w:noWrap/>
            <w:vAlign w:val="center"/>
          </w:tcPr>
          <w:p w14:paraId="50EBFBC5">
            <w:pPr>
              <w:widowControl/>
              <w:spacing w:line="400" w:lineRule="exact"/>
              <w:jc w:val="left"/>
              <w:rPr>
                <w:kern w:val="0"/>
                <w:sz w:val="24"/>
              </w:rPr>
            </w:pPr>
          </w:p>
        </w:tc>
        <w:tc>
          <w:tcPr>
            <w:tcW w:w="518" w:type="dxa"/>
            <w:noWrap/>
            <w:vAlign w:val="center"/>
          </w:tcPr>
          <w:p w14:paraId="2DD1F073">
            <w:pPr>
              <w:widowControl/>
              <w:spacing w:before="100" w:beforeAutospacing="1" w:after="100" w:afterAutospacing="1" w:line="400" w:lineRule="exact"/>
              <w:jc w:val="center"/>
              <w:rPr>
                <w:kern w:val="0"/>
                <w:sz w:val="24"/>
              </w:rPr>
            </w:pPr>
            <w:r>
              <w:rPr>
                <w:kern w:val="0"/>
                <w:sz w:val="24"/>
              </w:rPr>
              <w:t>18</w:t>
            </w:r>
          </w:p>
        </w:tc>
        <w:tc>
          <w:tcPr>
            <w:tcW w:w="3907" w:type="dxa"/>
            <w:noWrap/>
            <w:vAlign w:val="center"/>
          </w:tcPr>
          <w:p w14:paraId="665FAF35">
            <w:pPr>
              <w:widowControl/>
              <w:spacing w:before="100" w:beforeAutospacing="1" w:after="100" w:afterAutospacing="1" w:line="400" w:lineRule="exact"/>
              <w:jc w:val="left"/>
              <w:rPr>
                <w:kern w:val="0"/>
                <w:sz w:val="24"/>
              </w:rPr>
            </w:pPr>
            <w:r>
              <w:rPr>
                <w:kern w:val="0"/>
                <w:sz w:val="24"/>
              </w:rPr>
              <w:t>对生活垃圾进行处理的村占比（%）</w:t>
            </w:r>
          </w:p>
        </w:tc>
        <w:tc>
          <w:tcPr>
            <w:tcW w:w="881" w:type="dxa"/>
            <w:noWrap/>
            <w:vAlign w:val="center"/>
          </w:tcPr>
          <w:p w14:paraId="685D2D13">
            <w:pPr>
              <w:widowControl/>
              <w:spacing w:before="100" w:beforeAutospacing="1" w:after="100" w:afterAutospacing="1" w:line="400" w:lineRule="exact"/>
              <w:jc w:val="center"/>
              <w:rPr>
                <w:kern w:val="0"/>
                <w:sz w:val="24"/>
              </w:rPr>
            </w:pPr>
            <w:r>
              <w:rPr>
                <w:kern w:val="0"/>
                <w:sz w:val="24"/>
              </w:rPr>
              <w:t>80%</w:t>
            </w:r>
          </w:p>
        </w:tc>
        <w:tc>
          <w:tcPr>
            <w:tcW w:w="952" w:type="dxa"/>
            <w:noWrap/>
            <w:vAlign w:val="center"/>
          </w:tcPr>
          <w:p w14:paraId="66AB30B2">
            <w:pPr>
              <w:widowControl/>
              <w:spacing w:before="100" w:beforeAutospacing="1" w:after="100" w:afterAutospacing="1" w:line="400" w:lineRule="exact"/>
              <w:jc w:val="center"/>
              <w:rPr>
                <w:kern w:val="0"/>
                <w:sz w:val="24"/>
              </w:rPr>
            </w:pPr>
            <w:r>
              <w:rPr>
                <w:kern w:val="0"/>
                <w:sz w:val="24"/>
              </w:rPr>
              <w:t>85%</w:t>
            </w:r>
          </w:p>
        </w:tc>
        <w:tc>
          <w:tcPr>
            <w:tcW w:w="966" w:type="dxa"/>
            <w:noWrap/>
            <w:vAlign w:val="center"/>
          </w:tcPr>
          <w:p w14:paraId="06770DB5">
            <w:pPr>
              <w:widowControl/>
              <w:spacing w:before="100" w:beforeAutospacing="1" w:after="100" w:afterAutospacing="1" w:line="400" w:lineRule="exact"/>
              <w:jc w:val="center"/>
              <w:rPr>
                <w:kern w:val="0"/>
                <w:sz w:val="24"/>
              </w:rPr>
            </w:pPr>
            <w:r>
              <w:rPr>
                <w:kern w:val="0"/>
                <w:sz w:val="24"/>
              </w:rPr>
              <w:t>[3]</w:t>
            </w:r>
          </w:p>
        </w:tc>
        <w:tc>
          <w:tcPr>
            <w:tcW w:w="1059" w:type="dxa"/>
            <w:noWrap/>
            <w:vAlign w:val="center"/>
          </w:tcPr>
          <w:p w14:paraId="4B672849">
            <w:pPr>
              <w:widowControl/>
              <w:spacing w:before="100" w:beforeAutospacing="1" w:after="100" w:afterAutospacing="1" w:line="400" w:lineRule="exact"/>
              <w:jc w:val="center"/>
              <w:rPr>
                <w:kern w:val="0"/>
                <w:sz w:val="24"/>
              </w:rPr>
            </w:pPr>
            <w:r>
              <w:rPr>
                <w:kern w:val="0"/>
                <w:sz w:val="24"/>
              </w:rPr>
              <w:t xml:space="preserve">预期性 </w:t>
            </w:r>
          </w:p>
        </w:tc>
      </w:tr>
      <w:tr w14:paraId="7400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588" w:type="dxa"/>
            <w:vMerge w:val="restart"/>
            <w:noWrap/>
            <w:vAlign w:val="center"/>
          </w:tcPr>
          <w:p w14:paraId="252B46D8">
            <w:pPr>
              <w:widowControl/>
              <w:spacing w:line="400" w:lineRule="exact"/>
              <w:jc w:val="center"/>
              <w:rPr>
                <w:kern w:val="0"/>
                <w:sz w:val="24"/>
              </w:rPr>
            </w:pPr>
            <w:r>
              <w:rPr>
                <w:kern w:val="0"/>
                <w:sz w:val="24"/>
              </w:rPr>
              <w:t>农村</w:t>
            </w:r>
          </w:p>
          <w:p w14:paraId="79AB5630">
            <w:pPr>
              <w:widowControl/>
              <w:spacing w:line="400" w:lineRule="exact"/>
              <w:jc w:val="center"/>
              <w:rPr>
                <w:kern w:val="0"/>
                <w:sz w:val="24"/>
              </w:rPr>
            </w:pPr>
            <w:r>
              <w:rPr>
                <w:kern w:val="0"/>
                <w:sz w:val="24"/>
              </w:rPr>
              <w:t>宜居</w:t>
            </w:r>
          </w:p>
          <w:p w14:paraId="38596DBF">
            <w:pPr>
              <w:widowControl/>
              <w:spacing w:line="400" w:lineRule="exact"/>
              <w:jc w:val="center"/>
              <w:rPr>
                <w:kern w:val="0"/>
                <w:sz w:val="24"/>
              </w:rPr>
            </w:pPr>
            <w:r>
              <w:rPr>
                <w:kern w:val="0"/>
                <w:sz w:val="24"/>
              </w:rPr>
              <w:t>宜业</w:t>
            </w:r>
          </w:p>
        </w:tc>
        <w:tc>
          <w:tcPr>
            <w:tcW w:w="518" w:type="dxa"/>
            <w:noWrap/>
            <w:vAlign w:val="center"/>
          </w:tcPr>
          <w:p w14:paraId="7AA33EAC">
            <w:pPr>
              <w:widowControl/>
              <w:spacing w:before="100" w:beforeAutospacing="1" w:after="100" w:afterAutospacing="1" w:line="400" w:lineRule="exact"/>
              <w:jc w:val="center"/>
              <w:rPr>
                <w:kern w:val="0"/>
                <w:sz w:val="24"/>
              </w:rPr>
            </w:pPr>
            <w:r>
              <w:rPr>
                <w:kern w:val="0"/>
                <w:sz w:val="24"/>
              </w:rPr>
              <w:t>19</w:t>
            </w:r>
          </w:p>
        </w:tc>
        <w:tc>
          <w:tcPr>
            <w:tcW w:w="3907" w:type="dxa"/>
            <w:noWrap/>
            <w:vAlign w:val="center"/>
          </w:tcPr>
          <w:p w14:paraId="5CC4A3BF">
            <w:pPr>
              <w:widowControl/>
              <w:spacing w:before="100" w:beforeAutospacing="1" w:after="100" w:afterAutospacing="1" w:line="400" w:lineRule="exact"/>
              <w:jc w:val="left"/>
              <w:rPr>
                <w:kern w:val="0"/>
                <w:sz w:val="24"/>
              </w:rPr>
            </w:pPr>
            <w:r>
              <w:rPr>
                <w:kern w:val="0"/>
                <w:sz w:val="24"/>
              </w:rPr>
              <w:t>对生活污水进行处理的村占比（%）</w:t>
            </w:r>
          </w:p>
        </w:tc>
        <w:tc>
          <w:tcPr>
            <w:tcW w:w="881" w:type="dxa"/>
            <w:noWrap/>
            <w:vAlign w:val="center"/>
          </w:tcPr>
          <w:p w14:paraId="3B6C495A">
            <w:pPr>
              <w:widowControl/>
              <w:spacing w:before="100" w:beforeAutospacing="1" w:after="100" w:afterAutospacing="1" w:line="400" w:lineRule="exact"/>
              <w:jc w:val="center"/>
              <w:rPr>
                <w:kern w:val="0"/>
                <w:sz w:val="24"/>
              </w:rPr>
            </w:pPr>
            <w:r>
              <w:rPr>
                <w:kern w:val="0"/>
                <w:sz w:val="24"/>
              </w:rPr>
              <w:t>80%</w:t>
            </w:r>
          </w:p>
        </w:tc>
        <w:tc>
          <w:tcPr>
            <w:tcW w:w="952" w:type="dxa"/>
            <w:noWrap/>
            <w:vAlign w:val="center"/>
          </w:tcPr>
          <w:p w14:paraId="3B50BD2D">
            <w:pPr>
              <w:widowControl/>
              <w:spacing w:before="100" w:beforeAutospacing="1" w:after="100" w:afterAutospacing="1" w:line="400" w:lineRule="exact"/>
              <w:jc w:val="center"/>
              <w:rPr>
                <w:kern w:val="0"/>
                <w:sz w:val="24"/>
              </w:rPr>
            </w:pPr>
            <w:r>
              <w:rPr>
                <w:kern w:val="0"/>
                <w:sz w:val="24"/>
              </w:rPr>
              <w:t>85%</w:t>
            </w:r>
          </w:p>
        </w:tc>
        <w:tc>
          <w:tcPr>
            <w:tcW w:w="966" w:type="dxa"/>
            <w:noWrap/>
            <w:vAlign w:val="center"/>
          </w:tcPr>
          <w:p w14:paraId="410B8635">
            <w:pPr>
              <w:widowControl/>
              <w:spacing w:before="100" w:beforeAutospacing="1" w:after="100" w:afterAutospacing="1" w:line="400" w:lineRule="exact"/>
              <w:jc w:val="center"/>
              <w:rPr>
                <w:kern w:val="0"/>
                <w:sz w:val="24"/>
              </w:rPr>
            </w:pPr>
            <w:r>
              <w:rPr>
                <w:kern w:val="0"/>
                <w:sz w:val="24"/>
              </w:rPr>
              <w:t>[5]</w:t>
            </w:r>
          </w:p>
        </w:tc>
        <w:tc>
          <w:tcPr>
            <w:tcW w:w="1059" w:type="dxa"/>
            <w:noWrap/>
            <w:vAlign w:val="center"/>
          </w:tcPr>
          <w:p w14:paraId="6F62AA90">
            <w:pPr>
              <w:widowControl/>
              <w:spacing w:before="100" w:beforeAutospacing="1" w:after="100" w:afterAutospacing="1" w:line="400" w:lineRule="exact"/>
              <w:jc w:val="center"/>
              <w:rPr>
                <w:kern w:val="0"/>
                <w:sz w:val="24"/>
              </w:rPr>
            </w:pPr>
            <w:r>
              <w:rPr>
                <w:kern w:val="0"/>
                <w:sz w:val="24"/>
              </w:rPr>
              <w:t xml:space="preserve">预期性 </w:t>
            </w:r>
          </w:p>
        </w:tc>
      </w:tr>
      <w:tr w14:paraId="6433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15FD8A99">
            <w:pPr>
              <w:widowControl/>
              <w:spacing w:line="400" w:lineRule="exact"/>
              <w:jc w:val="left"/>
              <w:rPr>
                <w:kern w:val="0"/>
                <w:sz w:val="24"/>
              </w:rPr>
            </w:pPr>
          </w:p>
        </w:tc>
        <w:tc>
          <w:tcPr>
            <w:tcW w:w="518" w:type="dxa"/>
            <w:noWrap/>
            <w:vAlign w:val="center"/>
          </w:tcPr>
          <w:p w14:paraId="3BD814D0">
            <w:pPr>
              <w:widowControl/>
              <w:spacing w:before="100" w:beforeAutospacing="1" w:after="100" w:afterAutospacing="1" w:line="400" w:lineRule="exact"/>
              <w:jc w:val="center"/>
              <w:rPr>
                <w:kern w:val="0"/>
                <w:sz w:val="24"/>
              </w:rPr>
            </w:pPr>
            <w:r>
              <w:rPr>
                <w:kern w:val="0"/>
                <w:sz w:val="24"/>
              </w:rPr>
              <w:t>20</w:t>
            </w:r>
          </w:p>
        </w:tc>
        <w:tc>
          <w:tcPr>
            <w:tcW w:w="3907" w:type="dxa"/>
            <w:noWrap/>
            <w:vAlign w:val="center"/>
          </w:tcPr>
          <w:p w14:paraId="7143C1A8">
            <w:pPr>
              <w:widowControl/>
              <w:spacing w:before="100" w:beforeAutospacing="1" w:after="100" w:afterAutospacing="1" w:line="400" w:lineRule="exact"/>
              <w:jc w:val="left"/>
              <w:rPr>
                <w:kern w:val="0"/>
                <w:sz w:val="24"/>
              </w:rPr>
            </w:pPr>
            <w:r>
              <w:rPr>
                <w:kern w:val="0"/>
                <w:sz w:val="24"/>
              </w:rPr>
              <w:t>农村卫生厕所普及率（%）</w:t>
            </w:r>
          </w:p>
        </w:tc>
        <w:tc>
          <w:tcPr>
            <w:tcW w:w="881" w:type="dxa"/>
            <w:noWrap/>
            <w:vAlign w:val="center"/>
          </w:tcPr>
          <w:p w14:paraId="2B75B556">
            <w:pPr>
              <w:widowControl/>
              <w:spacing w:before="100" w:beforeAutospacing="1" w:after="100" w:afterAutospacing="1" w:line="400" w:lineRule="exact"/>
              <w:jc w:val="center"/>
              <w:rPr>
                <w:kern w:val="0"/>
                <w:sz w:val="24"/>
              </w:rPr>
            </w:pPr>
            <w:r>
              <w:rPr>
                <w:kern w:val="0"/>
                <w:sz w:val="24"/>
              </w:rPr>
              <w:t>80%</w:t>
            </w:r>
          </w:p>
        </w:tc>
        <w:tc>
          <w:tcPr>
            <w:tcW w:w="952" w:type="dxa"/>
            <w:noWrap/>
            <w:vAlign w:val="center"/>
          </w:tcPr>
          <w:p w14:paraId="237A3754">
            <w:pPr>
              <w:widowControl/>
              <w:spacing w:before="100" w:beforeAutospacing="1" w:after="100" w:afterAutospacing="1" w:line="400" w:lineRule="exact"/>
              <w:jc w:val="center"/>
              <w:rPr>
                <w:kern w:val="0"/>
                <w:sz w:val="24"/>
              </w:rPr>
            </w:pPr>
            <w:r>
              <w:rPr>
                <w:kern w:val="0"/>
                <w:sz w:val="24"/>
              </w:rPr>
              <w:t>85%</w:t>
            </w:r>
          </w:p>
        </w:tc>
        <w:tc>
          <w:tcPr>
            <w:tcW w:w="966" w:type="dxa"/>
            <w:noWrap/>
            <w:vAlign w:val="center"/>
          </w:tcPr>
          <w:p w14:paraId="3D00EE6D">
            <w:pPr>
              <w:widowControl/>
              <w:spacing w:before="100" w:beforeAutospacing="1" w:after="100" w:afterAutospacing="1" w:line="400" w:lineRule="exact"/>
              <w:jc w:val="center"/>
              <w:rPr>
                <w:kern w:val="0"/>
                <w:sz w:val="24"/>
              </w:rPr>
            </w:pPr>
            <w:r>
              <w:rPr>
                <w:kern w:val="0"/>
                <w:sz w:val="24"/>
              </w:rPr>
              <w:t>[5]</w:t>
            </w:r>
          </w:p>
        </w:tc>
        <w:tc>
          <w:tcPr>
            <w:tcW w:w="1059" w:type="dxa"/>
            <w:noWrap/>
            <w:vAlign w:val="center"/>
          </w:tcPr>
          <w:p w14:paraId="2E158AE1">
            <w:pPr>
              <w:widowControl/>
              <w:spacing w:before="100" w:beforeAutospacing="1" w:after="100" w:afterAutospacing="1" w:line="400" w:lineRule="exact"/>
              <w:jc w:val="center"/>
              <w:rPr>
                <w:kern w:val="0"/>
                <w:sz w:val="24"/>
              </w:rPr>
            </w:pPr>
            <w:r>
              <w:rPr>
                <w:kern w:val="0"/>
                <w:sz w:val="24"/>
              </w:rPr>
              <w:t xml:space="preserve">预期性  </w:t>
            </w:r>
          </w:p>
        </w:tc>
      </w:tr>
      <w:tr w14:paraId="32583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51A013F9">
            <w:pPr>
              <w:widowControl/>
              <w:spacing w:line="400" w:lineRule="exact"/>
              <w:jc w:val="left"/>
              <w:rPr>
                <w:kern w:val="0"/>
                <w:sz w:val="24"/>
              </w:rPr>
            </w:pPr>
          </w:p>
        </w:tc>
        <w:tc>
          <w:tcPr>
            <w:tcW w:w="518" w:type="dxa"/>
            <w:noWrap/>
            <w:vAlign w:val="center"/>
          </w:tcPr>
          <w:p w14:paraId="29CD39DC">
            <w:pPr>
              <w:widowControl/>
              <w:spacing w:before="100" w:beforeAutospacing="1" w:after="100" w:afterAutospacing="1" w:line="400" w:lineRule="exact"/>
              <w:jc w:val="center"/>
              <w:rPr>
                <w:kern w:val="0"/>
                <w:sz w:val="24"/>
              </w:rPr>
            </w:pPr>
            <w:r>
              <w:rPr>
                <w:kern w:val="0"/>
                <w:sz w:val="24"/>
              </w:rPr>
              <w:t>21</w:t>
            </w:r>
          </w:p>
        </w:tc>
        <w:tc>
          <w:tcPr>
            <w:tcW w:w="3907" w:type="dxa"/>
            <w:noWrap/>
            <w:vAlign w:val="center"/>
          </w:tcPr>
          <w:p w14:paraId="6A980604">
            <w:pPr>
              <w:widowControl/>
              <w:spacing w:before="100" w:beforeAutospacing="1" w:after="100" w:afterAutospacing="1" w:line="400" w:lineRule="exact"/>
              <w:jc w:val="left"/>
              <w:rPr>
                <w:kern w:val="0"/>
                <w:sz w:val="24"/>
              </w:rPr>
            </w:pPr>
            <w:r>
              <w:rPr>
                <w:kern w:val="0"/>
                <w:sz w:val="24"/>
              </w:rPr>
              <w:t>农村自来水普及率（%）</w:t>
            </w:r>
          </w:p>
        </w:tc>
        <w:tc>
          <w:tcPr>
            <w:tcW w:w="881" w:type="dxa"/>
            <w:noWrap/>
            <w:vAlign w:val="center"/>
          </w:tcPr>
          <w:p w14:paraId="02823846">
            <w:pPr>
              <w:widowControl/>
              <w:spacing w:before="100" w:beforeAutospacing="1" w:after="100" w:afterAutospacing="1" w:line="400" w:lineRule="exact"/>
              <w:jc w:val="center"/>
              <w:rPr>
                <w:kern w:val="0"/>
                <w:sz w:val="24"/>
              </w:rPr>
            </w:pPr>
            <w:r>
              <w:rPr>
                <w:kern w:val="0"/>
                <w:sz w:val="24"/>
              </w:rPr>
              <w:t>85%</w:t>
            </w:r>
          </w:p>
        </w:tc>
        <w:tc>
          <w:tcPr>
            <w:tcW w:w="952" w:type="dxa"/>
            <w:noWrap/>
            <w:vAlign w:val="center"/>
          </w:tcPr>
          <w:p w14:paraId="024074E1">
            <w:pPr>
              <w:widowControl/>
              <w:spacing w:before="100" w:beforeAutospacing="1" w:after="100" w:afterAutospacing="1" w:line="400" w:lineRule="exact"/>
              <w:jc w:val="center"/>
              <w:rPr>
                <w:kern w:val="0"/>
                <w:sz w:val="24"/>
              </w:rPr>
            </w:pPr>
            <w:r>
              <w:rPr>
                <w:kern w:val="0"/>
                <w:sz w:val="24"/>
              </w:rPr>
              <w:t>95%</w:t>
            </w:r>
          </w:p>
        </w:tc>
        <w:tc>
          <w:tcPr>
            <w:tcW w:w="966" w:type="dxa"/>
            <w:noWrap/>
            <w:vAlign w:val="center"/>
          </w:tcPr>
          <w:p w14:paraId="70B20178">
            <w:pPr>
              <w:widowControl/>
              <w:spacing w:before="100" w:beforeAutospacing="1" w:after="100" w:afterAutospacing="1" w:line="400" w:lineRule="exact"/>
              <w:jc w:val="center"/>
              <w:rPr>
                <w:kern w:val="0"/>
                <w:sz w:val="24"/>
              </w:rPr>
            </w:pPr>
            <w:r>
              <w:rPr>
                <w:kern w:val="0"/>
                <w:sz w:val="24"/>
              </w:rPr>
              <w:t>[10]</w:t>
            </w:r>
          </w:p>
        </w:tc>
        <w:tc>
          <w:tcPr>
            <w:tcW w:w="1059" w:type="dxa"/>
            <w:noWrap/>
            <w:vAlign w:val="center"/>
          </w:tcPr>
          <w:p w14:paraId="40FD4BD8">
            <w:pPr>
              <w:widowControl/>
              <w:spacing w:before="100" w:beforeAutospacing="1" w:after="100" w:afterAutospacing="1" w:line="400" w:lineRule="exact"/>
              <w:jc w:val="center"/>
              <w:rPr>
                <w:kern w:val="0"/>
                <w:sz w:val="24"/>
              </w:rPr>
            </w:pPr>
            <w:r>
              <w:rPr>
                <w:kern w:val="0"/>
                <w:sz w:val="24"/>
              </w:rPr>
              <w:t xml:space="preserve">预期性 </w:t>
            </w:r>
          </w:p>
        </w:tc>
      </w:tr>
      <w:tr w14:paraId="54AA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88" w:type="dxa"/>
            <w:vMerge w:val="continue"/>
            <w:noWrap/>
            <w:vAlign w:val="center"/>
          </w:tcPr>
          <w:p w14:paraId="7AD15139">
            <w:pPr>
              <w:widowControl/>
              <w:spacing w:line="400" w:lineRule="exact"/>
              <w:jc w:val="left"/>
              <w:rPr>
                <w:kern w:val="0"/>
                <w:sz w:val="24"/>
              </w:rPr>
            </w:pPr>
          </w:p>
        </w:tc>
        <w:tc>
          <w:tcPr>
            <w:tcW w:w="518" w:type="dxa"/>
            <w:noWrap/>
            <w:vAlign w:val="center"/>
          </w:tcPr>
          <w:p w14:paraId="6A898ABE">
            <w:pPr>
              <w:widowControl/>
              <w:spacing w:before="100" w:beforeAutospacing="1" w:after="100" w:afterAutospacing="1" w:line="400" w:lineRule="exact"/>
              <w:jc w:val="center"/>
              <w:rPr>
                <w:kern w:val="0"/>
                <w:sz w:val="24"/>
              </w:rPr>
            </w:pPr>
            <w:r>
              <w:rPr>
                <w:kern w:val="0"/>
                <w:sz w:val="24"/>
              </w:rPr>
              <w:t>22</w:t>
            </w:r>
          </w:p>
        </w:tc>
        <w:tc>
          <w:tcPr>
            <w:tcW w:w="3907" w:type="dxa"/>
            <w:noWrap/>
            <w:vAlign w:val="center"/>
          </w:tcPr>
          <w:p w14:paraId="48F06335">
            <w:pPr>
              <w:widowControl/>
              <w:spacing w:before="100" w:beforeAutospacing="1" w:after="100" w:afterAutospacing="1" w:line="400" w:lineRule="exact"/>
              <w:jc w:val="left"/>
              <w:rPr>
                <w:kern w:val="0"/>
                <w:sz w:val="24"/>
              </w:rPr>
            </w:pPr>
            <w:r>
              <w:rPr>
                <w:kern w:val="0"/>
                <w:sz w:val="24"/>
              </w:rPr>
              <w:t>美丽乡村中心村建设个数（个）</w:t>
            </w:r>
          </w:p>
        </w:tc>
        <w:tc>
          <w:tcPr>
            <w:tcW w:w="881" w:type="dxa"/>
            <w:noWrap/>
            <w:vAlign w:val="center"/>
          </w:tcPr>
          <w:p w14:paraId="033C3E89">
            <w:pPr>
              <w:widowControl/>
              <w:spacing w:before="100" w:beforeAutospacing="1" w:after="100" w:afterAutospacing="1" w:line="400" w:lineRule="exact"/>
              <w:jc w:val="center"/>
              <w:rPr>
                <w:kern w:val="0"/>
                <w:sz w:val="24"/>
              </w:rPr>
            </w:pPr>
            <w:r>
              <w:rPr>
                <w:kern w:val="0"/>
                <w:sz w:val="24"/>
              </w:rPr>
              <w:t>156</w:t>
            </w:r>
          </w:p>
        </w:tc>
        <w:tc>
          <w:tcPr>
            <w:tcW w:w="952" w:type="dxa"/>
            <w:noWrap/>
            <w:vAlign w:val="center"/>
          </w:tcPr>
          <w:p w14:paraId="09E2E336">
            <w:pPr>
              <w:widowControl/>
              <w:spacing w:before="100" w:beforeAutospacing="1" w:after="100" w:afterAutospacing="1" w:line="400" w:lineRule="exact"/>
              <w:jc w:val="center"/>
              <w:rPr>
                <w:kern w:val="0"/>
                <w:sz w:val="24"/>
              </w:rPr>
            </w:pPr>
            <w:r>
              <w:rPr>
                <w:kern w:val="0"/>
                <w:sz w:val="24"/>
              </w:rPr>
              <w:t>277</w:t>
            </w:r>
          </w:p>
        </w:tc>
        <w:tc>
          <w:tcPr>
            <w:tcW w:w="966" w:type="dxa"/>
            <w:noWrap/>
            <w:vAlign w:val="center"/>
          </w:tcPr>
          <w:p w14:paraId="593D98BF">
            <w:pPr>
              <w:widowControl/>
              <w:spacing w:before="100" w:beforeAutospacing="1" w:after="100" w:afterAutospacing="1" w:line="400" w:lineRule="exact"/>
              <w:jc w:val="center"/>
              <w:rPr>
                <w:kern w:val="0"/>
                <w:sz w:val="24"/>
              </w:rPr>
            </w:pPr>
            <w:r>
              <w:rPr>
                <w:kern w:val="0"/>
                <w:sz w:val="24"/>
              </w:rPr>
              <w:t>76.9%</w:t>
            </w:r>
          </w:p>
        </w:tc>
        <w:tc>
          <w:tcPr>
            <w:tcW w:w="1059" w:type="dxa"/>
            <w:noWrap/>
            <w:vAlign w:val="center"/>
          </w:tcPr>
          <w:p w14:paraId="1C2E53E4">
            <w:pPr>
              <w:widowControl/>
              <w:spacing w:before="100" w:beforeAutospacing="1" w:after="100" w:afterAutospacing="1" w:line="400" w:lineRule="exact"/>
              <w:jc w:val="center"/>
              <w:rPr>
                <w:kern w:val="0"/>
                <w:sz w:val="24"/>
              </w:rPr>
            </w:pPr>
            <w:r>
              <w:rPr>
                <w:kern w:val="0"/>
                <w:sz w:val="24"/>
              </w:rPr>
              <w:t xml:space="preserve">预期性 </w:t>
            </w:r>
          </w:p>
        </w:tc>
      </w:tr>
      <w:tr w14:paraId="10C7B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588" w:type="dxa"/>
            <w:vMerge w:val="restart"/>
            <w:noWrap/>
            <w:vAlign w:val="center"/>
          </w:tcPr>
          <w:p w14:paraId="141DEDF5">
            <w:pPr>
              <w:widowControl/>
              <w:spacing w:line="400" w:lineRule="exact"/>
              <w:jc w:val="center"/>
              <w:rPr>
                <w:kern w:val="0"/>
                <w:sz w:val="24"/>
              </w:rPr>
            </w:pPr>
            <w:r>
              <w:rPr>
                <w:kern w:val="0"/>
                <w:sz w:val="24"/>
              </w:rPr>
              <w:t>农民</w:t>
            </w:r>
          </w:p>
          <w:p w14:paraId="596E4A09">
            <w:pPr>
              <w:widowControl/>
              <w:spacing w:line="400" w:lineRule="exact"/>
              <w:jc w:val="center"/>
              <w:rPr>
                <w:kern w:val="0"/>
                <w:sz w:val="24"/>
              </w:rPr>
            </w:pPr>
            <w:r>
              <w:rPr>
                <w:kern w:val="0"/>
                <w:sz w:val="24"/>
              </w:rPr>
              <w:t>富裕</w:t>
            </w:r>
          </w:p>
          <w:p w14:paraId="4866631B">
            <w:pPr>
              <w:widowControl/>
              <w:spacing w:line="400" w:lineRule="exact"/>
              <w:jc w:val="center"/>
              <w:rPr>
                <w:kern w:val="0"/>
                <w:sz w:val="24"/>
              </w:rPr>
            </w:pPr>
            <w:r>
              <w:rPr>
                <w:kern w:val="0"/>
                <w:sz w:val="24"/>
              </w:rPr>
              <w:t xml:space="preserve">富足 </w:t>
            </w:r>
          </w:p>
        </w:tc>
        <w:tc>
          <w:tcPr>
            <w:tcW w:w="518" w:type="dxa"/>
            <w:noWrap/>
            <w:vAlign w:val="center"/>
          </w:tcPr>
          <w:p w14:paraId="40F7B7F7">
            <w:pPr>
              <w:widowControl/>
              <w:spacing w:before="100" w:beforeAutospacing="1" w:after="100" w:afterAutospacing="1" w:line="400" w:lineRule="exact"/>
              <w:jc w:val="center"/>
              <w:rPr>
                <w:kern w:val="0"/>
                <w:sz w:val="24"/>
              </w:rPr>
            </w:pPr>
            <w:r>
              <w:rPr>
                <w:kern w:val="0"/>
                <w:sz w:val="24"/>
              </w:rPr>
              <w:t>23</w:t>
            </w:r>
          </w:p>
        </w:tc>
        <w:tc>
          <w:tcPr>
            <w:tcW w:w="3907" w:type="dxa"/>
            <w:noWrap/>
            <w:vAlign w:val="center"/>
          </w:tcPr>
          <w:p w14:paraId="3B2D30D4">
            <w:pPr>
              <w:widowControl/>
              <w:spacing w:before="100" w:beforeAutospacing="1" w:after="100" w:afterAutospacing="1" w:line="400" w:lineRule="exact"/>
              <w:jc w:val="left"/>
              <w:rPr>
                <w:kern w:val="0"/>
                <w:sz w:val="24"/>
              </w:rPr>
            </w:pPr>
            <w:r>
              <w:rPr>
                <w:kern w:val="0"/>
                <w:sz w:val="24"/>
              </w:rPr>
              <w:t>集体经济强村占比（%）</w:t>
            </w:r>
          </w:p>
        </w:tc>
        <w:tc>
          <w:tcPr>
            <w:tcW w:w="881" w:type="dxa"/>
            <w:noWrap/>
            <w:vAlign w:val="center"/>
          </w:tcPr>
          <w:p w14:paraId="7FC41671">
            <w:pPr>
              <w:widowControl/>
              <w:spacing w:before="100" w:beforeAutospacing="1" w:after="100" w:afterAutospacing="1" w:line="400" w:lineRule="exact"/>
              <w:jc w:val="center"/>
              <w:rPr>
                <w:kern w:val="0"/>
                <w:sz w:val="24"/>
              </w:rPr>
            </w:pPr>
            <w:r>
              <w:rPr>
                <w:kern w:val="0"/>
                <w:sz w:val="24"/>
              </w:rPr>
              <w:t>8.4</w:t>
            </w:r>
          </w:p>
        </w:tc>
        <w:tc>
          <w:tcPr>
            <w:tcW w:w="952" w:type="dxa"/>
            <w:noWrap/>
            <w:vAlign w:val="center"/>
          </w:tcPr>
          <w:p w14:paraId="5D3E9DD4">
            <w:pPr>
              <w:widowControl/>
              <w:spacing w:before="100" w:beforeAutospacing="1" w:after="100" w:afterAutospacing="1" w:line="400" w:lineRule="exact"/>
              <w:jc w:val="center"/>
              <w:rPr>
                <w:kern w:val="0"/>
                <w:sz w:val="24"/>
              </w:rPr>
            </w:pPr>
            <w:r>
              <w:rPr>
                <w:kern w:val="0"/>
                <w:sz w:val="24"/>
              </w:rPr>
              <w:t>15</w:t>
            </w:r>
          </w:p>
        </w:tc>
        <w:tc>
          <w:tcPr>
            <w:tcW w:w="966" w:type="dxa"/>
            <w:noWrap/>
            <w:vAlign w:val="center"/>
          </w:tcPr>
          <w:p w14:paraId="33C478AE">
            <w:pPr>
              <w:widowControl/>
              <w:spacing w:before="100" w:beforeAutospacing="1" w:after="100" w:afterAutospacing="1" w:line="400" w:lineRule="exact"/>
              <w:jc w:val="center"/>
              <w:rPr>
                <w:kern w:val="0"/>
                <w:sz w:val="24"/>
              </w:rPr>
            </w:pPr>
            <w:r>
              <w:rPr>
                <w:kern w:val="0"/>
                <w:sz w:val="24"/>
              </w:rPr>
              <w:t>[6.6]</w:t>
            </w:r>
          </w:p>
        </w:tc>
        <w:tc>
          <w:tcPr>
            <w:tcW w:w="1059" w:type="dxa"/>
            <w:noWrap/>
            <w:vAlign w:val="center"/>
          </w:tcPr>
          <w:p w14:paraId="56CEDBD4">
            <w:pPr>
              <w:widowControl/>
              <w:spacing w:before="100" w:beforeAutospacing="1" w:after="100" w:afterAutospacing="1" w:line="400" w:lineRule="exact"/>
              <w:jc w:val="center"/>
              <w:rPr>
                <w:kern w:val="0"/>
                <w:sz w:val="24"/>
              </w:rPr>
            </w:pPr>
            <w:r>
              <w:rPr>
                <w:kern w:val="0"/>
                <w:sz w:val="24"/>
              </w:rPr>
              <w:t xml:space="preserve">预期性 </w:t>
            </w:r>
          </w:p>
        </w:tc>
      </w:tr>
      <w:tr w14:paraId="1915B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588" w:type="dxa"/>
            <w:vMerge w:val="continue"/>
            <w:noWrap/>
            <w:vAlign w:val="center"/>
          </w:tcPr>
          <w:p w14:paraId="62D4DB1D">
            <w:pPr>
              <w:widowControl/>
              <w:spacing w:line="400" w:lineRule="exact"/>
              <w:jc w:val="center"/>
              <w:rPr>
                <w:kern w:val="0"/>
                <w:sz w:val="24"/>
              </w:rPr>
            </w:pPr>
          </w:p>
        </w:tc>
        <w:tc>
          <w:tcPr>
            <w:tcW w:w="518" w:type="dxa"/>
            <w:noWrap/>
            <w:vAlign w:val="center"/>
          </w:tcPr>
          <w:p w14:paraId="3FF141AC">
            <w:pPr>
              <w:widowControl/>
              <w:spacing w:before="100" w:beforeAutospacing="1" w:after="100" w:afterAutospacing="1" w:line="400" w:lineRule="exact"/>
              <w:jc w:val="center"/>
              <w:rPr>
                <w:kern w:val="0"/>
                <w:sz w:val="24"/>
              </w:rPr>
            </w:pPr>
            <w:r>
              <w:rPr>
                <w:kern w:val="0"/>
                <w:sz w:val="24"/>
              </w:rPr>
              <w:t>24</w:t>
            </w:r>
          </w:p>
        </w:tc>
        <w:tc>
          <w:tcPr>
            <w:tcW w:w="3907" w:type="dxa"/>
            <w:noWrap/>
            <w:vAlign w:val="center"/>
          </w:tcPr>
          <w:p w14:paraId="0353BB23">
            <w:pPr>
              <w:widowControl/>
              <w:spacing w:before="100" w:beforeAutospacing="1" w:after="100" w:afterAutospacing="1" w:line="400" w:lineRule="exact"/>
              <w:jc w:val="left"/>
              <w:rPr>
                <w:kern w:val="0"/>
                <w:sz w:val="24"/>
              </w:rPr>
            </w:pPr>
            <w:r>
              <w:rPr>
                <w:kern w:val="0"/>
                <w:sz w:val="24"/>
              </w:rPr>
              <w:t>农村居民人均可支配收入（元）</w:t>
            </w:r>
          </w:p>
        </w:tc>
        <w:tc>
          <w:tcPr>
            <w:tcW w:w="881" w:type="dxa"/>
            <w:noWrap/>
            <w:vAlign w:val="center"/>
          </w:tcPr>
          <w:p w14:paraId="143F88B4">
            <w:pPr>
              <w:widowControl/>
              <w:spacing w:before="100" w:beforeAutospacing="1" w:after="100" w:afterAutospacing="1" w:line="400" w:lineRule="exact"/>
              <w:jc w:val="center"/>
              <w:rPr>
                <w:kern w:val="0"/>
                <w:sz w:val="24"/>
              </w:rPr>
            </w:pPr>
            <w:r>
              <w:rPr>
                <w:kern w:val="0"/>
                <w:sz w:val="24"/>
              </w:rPr>
              <w:t>15521</w:t>
            </w:r>
          </w:p>
        </w:tc>
        <w:tc>
          <w:tcPr>
            <w:tcW w:w="952" w:type="dxa"/>
            <w:noWrap/>
            <w:vAlign w:val="center"/>
          </w:tcPr>
          <w:p w14:paraId="561FB3FE">
            <w:pPr>
              <w:widowControl/>
              <w:spacing w:before="100" w:beforeAutospacing="1" w:after="100" w:afterAutospacing="1" w:line="400" w:lineRule="exact"/>
              <w:jc w:val="center"/>
              <w:rPr>
                <w:kern w:val="0"/>
                <w:sz w:val="24"/>
              </w:rPr>
            </w:pPr>
            <w:r>
              <w:rPr>
                <w:kern w:val="0"/>
                <w:sz w:val="24"/>
              </w:rPr>
              <w:t>24300</w:t>
            </w:r>
          </w:p>
        </w:tc>
        <w:tc>
          <w:tcPr>
            <w:tcW w:w="966" w:type="dxa"/>
            <w:noWrap/>
            <w:vAlign w:val="center"/>
          </w:tcPr>
          <w:p w14:paraId="2BD6B8D4">
            <w:pPr>
              <w:widowControl/>
              <w:spacing w:before="100" w:beforeAutospacing="1" w:after="100" w:afterAutospacing="1" w:line="400" w:lineRule="exact"/>
              <w:jc w:val="center"/>
              <w:rPr>
                <w:kern w:val="0"/>
                <w:sz w:val="24"/>
              </w:rPr>
            </w:pPr>
            <w:r>
              <w:rPr>
                <w:kern w:val="0"/>
                <w:sz w:val="24"/>
              </w:rPr>
              <w:t>9.4%</w:t>
            </w:r>
          </w:p>
        </w:tc>
        <w:tc>
          <w:tcPr>
            <w:tcW w:w="1059" w:type="dxa"/>
            <w:noWrap/>
            <w:vAlign w:val="center"/>
          </w:tcPr>
          <w:p w14:paraId="0FC9503A">
            <w:pPr>
              <w:widowControl/>
              <w:spacing w:before="100" w:beforeAutospacing="1" w:after="100" w:afterAutospacing="1" w:line="400" w:lineRule="exact"/>
              <w:jc w:val="center"/>
              <w:rPr>
                <w:kern w:val="0"/>
                <w:sz w:val="24"/>
              </w:rPr>
            </w:pPr>
            <w:r>
              <w:rPr>
                <w:kern w:val="0"/>
                <w:sz w:val="24"/>
              </w:rPr>
              <w:t>预期性</w:t>
            </w:r>
          </w:p>
        </w:tc>
      </w:tr>
      <w:tr w14:paraId="18FC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588" w:type="dxa"/>
            <w:vMerge w:val="continue"/>
            <w:noWrap/>
            <w:vAlign w:val="center"/>
          </w:tcPr>
          <w:p w14:paraId="5655DDE2">
            <w:pPr>
              <w:widowControl/>
              <w:spacing w:line="400" w:lineRule="exact"/>
              <w:jc w:val="left"/>
              <w:rPr>
                <w:kern w:val="0"/>
                <w:sz w:val="24"/>
              </w:rPr>
            </w:pPr>
          </w:p>
        </w:tc>
        <w:tc>
          <w:tcPr>
            <w:tcW w:w="518" w:type="dxa"/>
            <w:noWrap/>
            <w:vAlign w:val="center"/>
          </w:tcPr>
          <w:p w14:paraId="07EF56D6">
            <w:pPr>
              <w:widowControl/>
              <w:spacing w:before="100" w:beforeAutospacing="1" w:after="100" w:afterAutospacing="1" w:line="400" w:lineRule="exact"/>
              <w:jc w:val="center"/>
              <w:rPr>
                <w:kern w:val="0"/>
                <w:sz w:val="24"/>
              </w:rPr>
            </w:pPr>
            <w:r>
              <w:rPr>
                <w:kern w:val="0"/>
                <w:sz w:val="24"/>
              </w:rPr>
              <w:t>25</w:t>
            </w:r>
          </w:p>
        </w:tc>
        <w:tc>
          <w:tcPr>
            <w:tcW w:w="3907" w:type="dxa"/>
            <w:noWrap/>
            <w:vAlign w:val="center"/>
          </w:tcPr>
          <w:p w14:paraId="705D991F">
            <w:pPr>
              <w:widowControl/>
              <w:spacing w:before="100" w:beforeAutospacing="1" w:after="100" w:afterAutospacing="1" w:line="400" w:lineRule="exact"/>
              <w:jc w:val="left"/>
              <w:rPr>
                <w:kern w:val="0"/>
                <w:sz w:val="24"/>
              </w:rPr>
            </w:pPr>
            <w:r>
              <w:rPr>
                <w:kern w:val="0"/>
                <w:sz w:val="24"/>
              </w:rPr>
              <w:t>城乡居民收入比</w:t>
            </w:r>
          </w:p>
        </w:tc>
        <w:tc>
          <w:tcPr>
            <w:tcW w:w="881" w:type="dxa"/>
            <w:noWrap/>
            <w:vAlign w:val="center"/>
          </w:tcPr>
          <w:p w14:paraId="2602B3B1">
            <w:pPr>
              <w:widowControl/>
              <w:spacing w:before="100" w:beforeAutospacing="1" w:after="100" w:afterAutospacing="1" w:line="400" w:lineRule="exact"/>
              <w:jc w:val="center"/>
              <w:rPr>
                <w:kern w:val="0"/>
                <w:sz w:val="24"/>
              </w:rPr>
            </w:pPr>
            <w:r>
              <w:rPr>
                <w:kern w:val="0"/>
                <w:sz w:val="24"/>
              </w:rPr>
              <w:t>2.46</w:t>
            </w:r>
          </w:p>
        </w:tc>
        <w:tc>
          <w:tcPr>
            <w:tcW w:w="952" w:type="dxa"/>
            <w:noWrap/>
            <w:vAlign w:val="center"/>
          </w:tcPr>
          <w:p w14:paraId="7123D2BE">
            <w:pPr>
              <w:widowControl/>
              <w:spacing w:before="100" w:beforeAutospacing="1" w:after="100" w:afterAutospacing="1" w:line="400" w:lineRule="exact"/>
              <w:jc w:val="center"/>
              <w:rPr>
                <w:kern w:val="0"/>
                <w:sz w:val="24"/>
              </w:rPr>
            </w:pPr>
            <w:r>
              <w:rPr>
                <w:kern w:val="0"/>
                <w:sz w:val="24"/>
              </w:rPr>
              <w:t>2.31</w:t>
            </w:r>
          </w:p>
        </w:tc>
        <w:tc>
          <w:tcPr>
            <w:tcW w:w="966" w:type="dxa"/>
            <w:noWrap/>
            <w:vAlign w:val="center"/>
          </w:tcPr>
          <w:p w14:paraId="3F734419">
            <w:pPr>
              <w:widowControl/>
              <w:spacing w:before="100" w:beforeAutospacing="1" w:after="100" w:afterAutospacing="1" w:line="400" w:lineRule="exact"/>
              <w:jc w:val="center"/>
              <w:rPr>
                <w:kern w:val="0"/>
                <w:sz w:val="24"/>
              </w:rPr>
            </w:pPr>
            <w:r>
              <w:rPr>
                <w:kern w:val="0"/>
                <w:sz w:val="24"/>
              </w:rPr>
              <w:t>[-0.15]</w:t>
            </w:r>
          </w:p>
        </w:tc>
        <w:tc>
          <w:tcPr>
            <w:tcW w:w="1059" w:type="dxa"/>
            <w:noWrap/>
            <w:vAlign w:val="center"/>
          </w:tcPr>
          <w:p w14:paraId="5AC112B5">
            <w:pPr>
              <w:widowControl/>
              <w:spacing w:before="100" w:beforeAutospacing="1" w:after="100" w:afterAutospacing="1" w:line="400" w:lineRule="exact"/>
              <w:jc w:val="center"/>
              <w:rPr>
                <w:kern w:val="0"/>
                <w:sz w:val="24"/>
              </w:rPr>
            </w:pPr>
            <w:r>
              <w:rPr>
                <w:kern w:val="0"/>
                <w:sz w:val="24"/>
              </w:rPr>
              <w:t>预期性</w:t>
            </w:r>
          </w:p>
        </w:tc>
      </w:tr>
      <w:tr w14:paraId="0D8B0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588" w:type="dxa"/>
            <w:vMerge w:val="continue"/>
            <w:noWrap/>
            <w:vAlign w:val="center"/>
          </w:tcPr>
          <w:p w14:paraId="58630455">
            <w:pPr>
              <w:widowControl/>
              <w:spacing w:line="400" w:lineRule="exact"/>
              <w:jc w:val="left"/>
              <w:rPr>
                <w:kern w:val="0"/>
                <w:sz w:val="24"/>
              </w:rPr>
            </w:pPr>
          </w:p>
        </w:tc>
        <w:tc>
          <w:tcPr>
            <w:tcW w:w="518" w:type="dxa"/>
            <w:noWrap/>
            <w:vAlign w:val="center"/>
          </w:tcPr>
          <w:p w14:paraId="7ABDE7D6">
            <w:pPr>
              <w:widowControl/>
              <w:spacing w:before="100" w:beforeAutospacing="1" w:after="100" w:afterAutospacing="1" w:line="400" w:lineRule="exact"/>
              <w:jc w:val="center"/>
              <w:rPr>
                <w:kern w:val="0"/>
                <w:sz w:val="24"/>
              </w:rPr>
            </w:pPr>
            <w:r>
              <w:rPr>
                <w:kern w:val="0"/>
                <w:sz w:val="24"/>
              </w:rPr>
              <w:t>26</w:t>
            </w:r>
          </w:p>
        </w:tc>
        <w:tc>
          <w:tcPr>
            <w:tcW w:w="3907" w:type="dxa"/>
            <w:noWrap/>
            <w:vAlign w:val="center"/>
          </w:tcPr>
          <w:p w14:paraId="71502E1F">
            <w:pPr>
              <w:widowControl/>
              <w:spacing w:before="100" w:beforeAutospacing="1" w:after="100" w:afterAutospacing="1" w:line="400" w:lineRule="exact"/>
              <w:jc w:val="left"/>
              <w:rPr>
                <w:spacing w:val="-10"/>
                <w:kern w:val="0"/>
                <w:sz w:val="24"/>
              </w:rPr>
            </w:pPr>
            <w:r>
              <w:rPr>
                <w:spacing w:val="-10"/>
                <w:kern w:val="0"/>
                <w:sz w:val="24"/>
              </w:rPr>
              <w:t>农村居民教育文化娱乐消费支出占比（%）</w:t>
            </w:r>
          </w:p>
        </w:tc>
        <w:tc>
          <w:tcPr>
            <w:tcW w:w="881" w:type="dxa"/>
            <w:noWrap/>
            <w:vAlign w:val="center"/>
          </w:tcPr>
          <w:p w14:paraId="3AB18945">
            <w:pPr>
              <w:widowControl/>
              <w:spacing w:before="100" w:beforeAutospacing="1" w:after="100" w:afterAutospacing="1" w:line="400" w:lineRule="exact"/>
              <w:jc w:val="center"/>
              <w:rPr>
                <w:kern w:val="0"/>
                <w:sz w:val="24"/>
              </w:rPr>
            </w:pPr>
            <w:r>
              <w:rPr>
                <w:kern w:val="0"/>
                <w:sz w:val="24"/>
              </w:rPr>
              <w:t>8.3</w:t>
            </w:r>
          </w:p>
        </w:tc>
        <w:tc>
          <w:tcPr>
            <w:tcW w:w="952" w:type="dxa"/>
            <w:noWrap/>
            <w:vAlign w:val="center"/>
          </w:tcPr>
          <w:p w14:paraId="2C345A89">
            <w:pPr>
              <w:widowControl/>
              <w:spacing w:before="100" w:beforeAutospacing="1" w:after="100" w:afterAutospacing="1" w:line="400" w:lineRule="exact"/>
              <w:jc w:val="center"/>
              <w:rPr>
                <w:kern w:val="0"/>
                <w:sz w:val="24"/>
              </w:rPr>
            </w:pPr>
            <w:r>
              <w:rPr>
                <w:kern w:val="0"/>
                <w:sz w:val="24"/>
              </w:rPr>
              <w:t>&gt;10</w:t>
            </w:r>
          </w:p>
        </w:tc>
        <w:tc>
          <w:tcPr>
            <w:tcW w:w="966" w:type="dxa"/>
            <w:noWrap/>
            <w:vAlign w:val="center"/>
          </w:tcPr>
          <w:p w14:paraId="4BBB2B0C">
            <w:pPr>
              <w:widowControl/>
              <w:spacing w:before="100" w:beforeAutospacing="1" w:after="100" w:afterAutospacing="1" w:line="400" w:lineRule="exact"/>
              <w:jc w:val="center"/>
              <w:rPr>
                <w:kern w:val="0"/>
                <w:sz w:val="24"/>
              </w:rPr>
            </w:pPr>
            <w:r>
              <w:rPr>
                <w:kern w:val="0"/>
                <w:sz w:val="24"/>
              </w:rPr>
              <w:t>[&gt;1.7]</w:t>
            </w:r>
          </w:p>
        </w:tc>
        <w:tc>
          <w:tcPr>
            <w:tcW w:w="1059" w:type="dxa"/>
            <w:noWrap/>
            <w:vAlign w:val="center"/>
          </w:tcPr>
          <w:p w14:paraId="3050D919">
            <w:pPr>
              <w:widowControl/>
              <w:spacing w:before="100" w:beforeAutospacing="1" w:after="100" w:afterAutospacing="1" w:line="400" w:lineRule="exact"/>
              <w:jc w:val="center"/>
              <w:rPr>
                <w:kern w:val="0"/>
                <w:sz w:val="24"/>
              </w:rPr>
            </w:pPr>
            <w:r>
              <w:rPr>
                <w:kern w:val="0"/>
                <w:sz w:val="24"/>
              </w:rPr>
              <w:t>预期性</w:t>
            </w:r>
          </w:p>
        </w:tc>
      </w:tr>
    </w:tbl>
    <w:p w14:paraId="5B490A23">
      <w:pPr>
        <w:pStyle w:val="2"/>
        <w:spacing w:before="0" w:beforeAutospacing="0" w:after="0" w:afterAutospacing="0" w:line="600" w:lineRule="exact"/>
        <w:jc w:val="center"/>
        <w:rPr>
          <w:rFonts w:ascii="Times New Roman" w:hAnsi="Times New Roman" w:eastAsia="方正小标宋简体"/>
          <w:b w:val="0"/>
          <w:sz w:val="36"/>
          <w:szCs w:val="36"/>
        </w:rPr>
      </w:pPr>
      <w:r>
        <w:rPr>
          <w:rFonts w:ascii="Times New Roman" w:hAnsi="Times New Roman"/>
          <w:kern w:val="2"/>
        </w:rPr>
        <w:br w:type="page"/>
      </w:r>
      <w:bookmarkStart w:id="93" w:name="_Toc660"/>
      <w:bookmarkStart w:id="94" w:name="_Toc32384"/>
      <w:bookmarkStart w:id="95" w:name="_Toc97033748"/>
      <w:bookmarkStart w:id="96" w:name="_Toc27124"/>
      <w:bookmarkStart w:id="97" w:name="_Toc11678"/>
      <w:bookmarkStart w:id="98" w:name="_Toc28268"/>
      <w:r>
        <w:rPr>
          <w:rFonts w:ascii="Times New Roman" w:hAnsi="Times New Roman" w:eastAsia="方正小标宋简体"/>
          <w:b w:val="0"/>
          <w:sz w:val="36"/>
          <w:szCs w:val="36"/>
        </w:rPr>
        <w:t>三、统筹发展空间，</w:t>
      </w:r>
      <w:bookmarkEnd w:id="93"/>
      <w:r>
        <w:rPr>
          <w:rFonts w:ascii="Times New Roman" w:hAnsi="Times New Roman" w:eastAsia="方正小标宋简体"/>
          <w:b w:val="0"/>
          <w:sz w:val="36"/>
          <w:szCs w:val="36"/>
        </w:rPr>
        <w:t>优化农业发展布局</w:t>
      </w:r>
      <w:bookmarkEnd w:id="94"/>
      <w:bookmarkEnd w:id="95"/>
      <w:bookmarkEnd w:id="96"/>
      <w:bookmarkEnd w:id="97"/>
    </w:p>
    <w:bookmarkEnd w:id="98"/>
    <w:p w14:paraId="0C98FC20">
      <w:pPr>
        <w:ind w:firstLine="640"/>
        <w:rPr>
          <w:szCs w:val="28"/>
        </w:rPr>
      </w:pPr>
    </w:p>
    <w:p w14:paraId="285617F5">
      <w:pPr>
        <w:ind w:firstLine="640"/>
        <w:rPr>
          <w:b/>
          <w:bCs/>
          <w:szCs w:val="28"/>
        </w:rPr>
      </w:pPr>
      <w:r>
        <w:rPr>
          <w:szCs w:val="28"/>
        </w:rPr>
        <w:t>按照“城乡一体、三生兼顾”的规划布局原则，立足产业基础和资源优势，聚焦品牌粮食、特色畜禽、名优茶叶、优质蔬菜、精品水果、高品质水产等优势特色主导产业全产业链发展，紧密衔接国土空间规划，统筹人口、城镇、乡村、资源要素和生态保护空间，加快构建“一核引领、一轴拓展、三区支撑、两带串联、多园成群”的农业农村发展空间总体布局。</w:t>
      </w:r>
    </w:p>
    <w:p w14:paraId="7E728C78">
      <w:pPr>
        <w:pStyle w:val="3"/>
        <w:spacing w:beforeLines="50" w:afterLines="50" w:line="240" w:lineRule="auto"/>
        <w:ind w:firstLine="641"/>
        <w:jc w:val="left"/>
        <w:rPr>
          <w:rFonts w:ascii="Times New Roman" w:hAnsi="Times New Roman"/>
          <w:b w:val="0"/>
          <w:sz w:val="30"/>
          <w:szCs w:val="30"/>
        </w:rPr>
      </w:pPr>
      <w:bookmarkStart w:id="99" w:name="_Toc8488"/>
      <w:bookmarkStart w:id="100" w:name="_Toc30607"/>
      <w:bookmarkStart w:id="101" w:name="_Toc13277"/>
      <w:bookmarkStart w:id="102" w:name="_Toc9468"/>
      <w:bookmarkStart w:id="103" w:name="_Toc4759"/>
      <w:bookmarkStart w:id="104" w:name="_Toc97033749"/>
      <w:r>
        <w:rPr>
          <w:rFonts w:ascii="Times New Roman" w:hAnsi="Times New Roman"/>
          <w:b w:val="0"/>
          <w:sz w:val="30"/>
          <w:szCs w:val="30"/>
        </w:rPr>
        <w:t>（一）一核</w:t>
      </w:r>
      <w:bookmarkEnd w:id="99"/>
      <w:bookmarkEnd w:id="100"/>
      <w:bookmarkEnd w:id="101"/>
      <w:bookmarkEnd w:id="102"/>
      <w:bookmarkEnd w:id="103"/>
      <w:bookmarkEnd w:id="104"/>
    </w:p>
    <w:p w14:paraId="0C044375">
      <w:pPr>
        <w:ind w:firstLine="643"/>
        <w:rPr>
          <w:szCs w:val="28"/>
        </w:rPr>
      </w:pPr>
      <w:r>
        <w:rPr>
          <w:rFonts w:eastAsia="楷体_GB2312"/>
          <w:b/>
          <w:bCs/>
          <w:szCs w:val="28"/>
        </w:rPr>
        <w:t>“一核”即创新驱动引领核</w:t>
      </w:r>
      <w:r>
        <w:rPr>
          <w:rFonts w:eastAsia="楷体_GB2312"/>
          <w:szCs w:val="28"/>
        </w:rPr>
        <w:t>，</w:t>
      </w:r>
      <w:r>
        <w:rPr>
          <w:szCs w:val="28"/>
        </w:rPr>
        <w:t>包括西市街道、古楼街道、小华山街道以及平桥乡的部分区域。按照产城一体、功能复合的要求，紧密围绕科技创新、创业孵化、推广服务等现代农业发展多层次需求，依托皖西学院、裕安区农业技术推广服务中心等本土农业科技研发及推广服务机构和域外科技力量开展建设，重点建立健全政产学研用紧密结合、教科推多位一体的新型农业推广服务模式，开展农业技术研发、示范推广、会展交流、人才培养、品牌创建、市场拓展等创新创业活动，搭建现代农业科技成果转化应用基地、现代农业技术装备展示应用示范基地、农业科技知识普及基地、农业推广服务核心平台，打造引领辐射全区农业农村高质量发展的农业创新驱动核心区。</w:t>
      </w:r>
    </w:p>
    <w:p w14:paraId="0B2AF725">
      <w:pPr>
        <w:pStyle w:val="3"/>
        <w:spacing w:beforeLines="50" w:afterLines="50" w:line="240" w:lineRule="auto"/>
        <w:ind w:firstLine="641"/>
        <w:jc w:val="left"/>
        <w:rPr>
          <w:rFonts w:ascii="Times New Roman" w:hAnsi="Times New Roman"/>
          <w:b w:val="0"/>
          <w:sz w:val="30"/>
          <w:szCs w:val="30"/>
        </w:rPr>
      </w:pPr>
      <w:bookmarkStart w:id="105" w:name="_Toc97033750"/>
      <w:r>
        <w:rPr>
          <w:rFonts w:ascii="Times New Roman" w:hAnsi="Times New Roman"/>
          <w:b w:val="0"/>
          <w:sz w:val="30"/>
          <w:szCs w:val="30"/>
        </w:rPr>
        <w:t>（二）一轴</w:t>
      </w:r>
      <w:bookmarkEnd w:id="105"/>
    </w:p>
    <w:p w14:paraId="3BFF3003">
      <w:pPr>
        <w:ind w:firstLine="533" w:firstLineChars="196"/>
        <w:rPr>
          <w:szCs w:val="28"/>
        </w:rPr>
      </w:pPr>
      <w:r>
        <w:rPr>
          <w:rFonts w:eastAsia="楷体_GB2312"/>
          <w:b/>
          <w:bCs/>
          <w:szCs w:val="28"/>
        </w:rPr>
        <w:t>“一轴”即G312高效农业发展轴</w:t>
      </w:r>
      <w:r>
        <w:rPr>
          <w:rFonts w:eastAsia="楷体_GB2312"/>
          <w:szCs w:val="28"/>
        </w:rPr>
        <w:t>。</w:t>
      </w:r>
      <w:r>
        <w:rPr>
          <w:szCs w:val="28"/>
        </w:rPr>
        <w:t>布局在312国道两侧的农业区域，重点</w:t>
      </w:r>
      <w:r>
        <w:rPr>
          <w:snapToGrid w:val="0"/>
          <w:kern w:val="0"/>
          <w:szCs w:val="28"/>
        </w:rPr>
        <w:t>建设温控大棚、无人农场、都市农园等高效农业基地和园区，着力打造高效农业发展主轴线，</w:t>
      </w:r>
      <w:r>
        <w:rPr>
          <w:szCs w:val="28"/>
        </w:rPr>
        <w:t xml:space="preserve">东连六安市区和合肥市、西接叶集区，并与茶谷休闲农业产业带和淠河生态农业产业带相联接，发挥外拓内联及高效农业示范等功能。 </w:t>
      </w:r>
    </w:p>
    <w:p w14:paraId="63048D5A">
      <w:pPr>
        <w:pStyle w:val="3"/>
        <w:spacing w:beforeLines="30" w:afterLines="30" w:line="240" w:lineRule="auto"/>
        <w:ind w:firstLine="641"/>
        <w:jc w:val="left"/>
        <w:rPr>
          <w:rFonts w:ascii="Times New Roman" w:hAnsi="Times New Roman"/>
          <w:b w:val="0"/>
          <w:sz w:val="30"/>
          <w:szCs w:val="30"/>
        </w:rPr>
      </w:pPr>
      <w:bookmarkStart w:id="106" w:name="_Toc28429"/>
      <w:bookmarkStart w:id="107" w:name="_Toc97033751"/>
      <w:bookmarkStart w:id="108" w:name="_Toc27260"/>
      <w:bookmarkStart w:id="109" w:name="_Toc31638"/>
      <w:bookmarkStart w:id="110" w:name="_Toc30392"/>
      <w:bookmarkStart w:id="111" w:name="_Toc8905"/>
      <w:r>
        <w:rPr>
          <w:rFonts w:ascii="Times New Roman" w:hAnsi="Times New Roman"/>
          <w:b w:val="0"/>
          <w:sz w:val="30"/>
          <w:szCs w:val="30"/>
        </w:rPr>
        <w:t>（三）三区</w:t>
      </w:r>
      <w:bookmarkEnd w:id="106"/>
      <w:bookmarkEnd w:id="107"/>
      <w:bookmarkEnd w:id="108"/>
      <w:bookmarkEnd w:id="109"/>
      <w:bookmarkEnd w:id="110"/>
      <w:bookmarkEnd w:id="111"/>
    </w:p>
    <w:p w14:paraId="58221195">
      <w:pPr>
        <w:ind w:firstLine="643"/>
        <w:rPr>
          <w:rFonts w:eastAsia="楷体_GB2312"/>
          <w:b/>
          <w:bCs/>
          <w:szCs w:val="28"/>
        </w:rPr>
      </w:pPr>
      <w:r>
        <w:rPr>
          <w:rFonts w:eastAsia="楷体_GB2312"/>
          <w:b/>
          <w:bCs/>
          <w:szCs w:val="28"/>
        </w:rPr>
        <w:t>“三区”即三大特色农业发展区，分别是北部循环农业发展区、中部休闲农业发展区、南部农旅融合发展区。</w:t>
      </w:r>
    </w:p>
    <w:p w14:paraId="45FB78FE">
      <w:pPr>
        <w:ind w:firstLine="643"/>
        <w:rPr>
          <w:szCs w:val="28"/>
        </w:rPr>
      </w:pPr>
      <w:r>
        <w:rPr>
          <w:b/>
          <w:bCs/>
          <w:szCs w:val="28"/>
        </w:rPr>
        <w:t>——北部循环农业发展区，</w:t>
      </w:r>
      <w:r>
        <w:rPr>
          <w:szCs w:val="28"/>
        </w:rPr>
        <w:t>包括固镇、罗集、丁集、单王、新安、顺河、江家店、徐集等乡镇。重点发展品牌粮食（优质水稻、优质小麦）、特色畜禽（皖西白鹅、生猪、肉羊、奶牛、蛋鸡等）、高品质水产（小龙虾）、绿色蔬菜（毛豆、萝卜、水生蔬菜等）等优势特色产业，大力推进绿色食品原料基地提档升级、规模化养殖场粪污循环安全利用、池塘养殖标准化改造提升，集成推广“稻田综合种养”“猪—沼—稻（果、菜）”、农业废弃物综合利用等种养结合、生态循环生产模式，建设一批优质原料基地，发展一批农产品加工集聚区，打造粮经饲统筹、种养加一体的高效循环农业发展区。</w:t>
      </w:r>
    </w:p>
    <w:p w14:paraId="09F35CEB">
      <w:pPr>
        <w:ind w:firstLine="640"/>
        <w:rPr>
          <w:szCs w:val="28"/>
        </w:rPr>
      </w:pPr>
      <w:r>
        <w:rPr>
          <w:szCs w:val="28"/>
        </w:rPr>
        <w:t>——</w:t>
      </w:r>
      <w:r>
        <w:rPr>
          <w:b/>
          <w:bCs/>
          <w:szCs w:val="28"/>
        </w:rPr>
        <w:t>中部休闲农业发展区。</w:t>
      </w:r>
      <w:r>
        <w:rPr>
          <w:szCs w:val="28"/>
        </w:rPr>
        <w:t>包括分路口、狮子岗、韩摆渡、苏埠、城南等乡镇全域以及平桥乡的部分区域。重点以江淮果岭等农业绿色发展平台为依托，统筹山水田林湖生态系统治理，因地制宜发展品牌粮食（优质水稻、专用小麦）、优质蔬菜（毛豆、萝卜、水生蔬菜等）、精品水果（桃、梨子、葡萄等）、特色畜禽（麻黄鸡）、休闲渔业等优势特色产业，拓展观光体验、休闲采摘、农耕文化传承等农业多种功能，发展生态游、文化游、休闲游、体验游等新产业、新业态，打造集生产、生态、休闲、观光、展示、体验为一体的休闲农业发展区。</w:t>
      </w:r>
    </w:p>
    <w:p w14:paraId="2463148F">
      <w:pPr>
        <w:ind w:firstLine="643"/>
      </w:pPr>
      <w:r>
        <w:rPr>
          <w:b/>
          <w:bCs/>
          <w:szCs w:val="28"/>
        </w:rPr>
        <w:t>——南部农旅融合发展区，</w:t>
      </w:r>
      <w:r>
        <w:rPr>
          <w:color w:val="000000"/>
          <w:szCs w:val="28"/>
        </w:rPr>
        <w:t>包括独山、青山、石婆店、西河口、石板冲等乡镇。重点以六安茶谷、森林林场、独山革命旧址群、乡村休闲旅游精品村镇</w:t>
      </w:r>
      <w:r>
        <w:rPr>
          <w:szCs w:val="28"/>
        </w:rPr>
        <w:t>等农业绿色发展平台和优质乡村休闲旅游资源为依托，</w:t>
      </w:r>
      <w:r>
        <w:rPr>
          <w:color w:val="000000"/>
          <w:szCs w:val="28"/>
        </w:rPr>
        <w:t>发展名优茶叶（六安瓜片）、道地中药材、油茶等优势特色农林产业，大力</w:t>
      </w:r>
      <w:r>
        <w:rPr>
          <w:szCs w:val="28"/>
        </w:rPr>
        <w:t>挖掘茶文化、农耕文化、红色文化、民俗文化等特色文化底蕴内涵，拓展农业生态保育、民俗体验、文化传承、健康养生等多种功能和价值，规划建设一批具有重要影响力和知名度的乡村旅游示范村镇和精品路线，打造长三角居民绿色食品好来源、生态康养好去处、红色文化传承新基地。</w:t>
      </w:r>
    </w:p>
    <w:p w14:paraId="7653D722">
      <w:pPr>
        <w:pStyle w:val="3"/>
        <w:spacing w:beforeLines="50" w:afterLines="50" w:line="240" w:lineRule="auto"/>
        <w:ind w:firstLine="641"/>
        <w:jc w:val="left"/>
        <w:rPr>
          <w:rFonts w:ascii="Times New Roman" w:hAnsi="Times New Roman"/>
          <w:b w:val="0"/>
          <w:sz w:val="30"/>
          <w:szCs w:val="30"/>
        </w:rPr>
      </w:pPr>
      <w:bookmarkStart w:id="112" w:name="_Toc23110"/>
      <w:bookmarkStart w:id="113" w:name="_Toc97033752"/>
      <w:bookmarkStart w:id="114" w:name="_Toc2109"/>
      <w:bookmarkStart w:id="115" w:name="_Toc6520"/>
      <w:bookmarkStart w:id="116" w:name="_Toc29783"/>
      <w:bookmarkStart w:id="117" w:name="_Toc13345"/>
      <w:r>
        <w:rPr>
          <w:rFonts w:ascii="Times New Roman" w:hAnsi="Times New Roman"/>
          <w:b w:val="0"/>
          <w:sz w:val="30"/>
          <w:szCs w:val="30"/>
        </w:rPr>
        <w:t>（四）两带</w:t>
      </w:r>
      <w:bookmarkEnd w:id="112"/>
      <w:bookmarkEnd w:id="113"/>
      <w:bookmarkEnd w:id="114"/>
      <w:bookmarkEnd w:id="115"/>
      <w:bookmarkEnd w:id="116"/>
      <w:bookmarkEnd w:id="117"/>
    </w:p>
    <w:p w14:paraId="0A852A60">
      <w:pPr>
        <w:ind w:firstLine="643"/>
        <w:rPr>
          <w:rFonts w:eastAsia="楷体_GB2312"/>
          <w:b/>
          <w:bCs/>
          <w:szCs w:val="28"/>
        </w:rPr>
      </w:pPr>
      <w:r>
        <w:rPr>
          <w:rFonts w:eastAsia="楷体_GB2312"/>
          <w:b/>
          <w:bCs/>
          <w:szCs w:val="28"/>
        </w:rPr>
        <w:t>“两带”即茶谷休闲农业产业带和淠河生态农业产业带。</w:t>
      </w:r>
    </w:p>
    <w:p w14:paraId="17C608D0">
      <w:pPr>
        <w:ind w:firstLine="643"/>
        <w:rPr>
          <w:szCs w:val="28"/>
        </w:rPr>
      </w:pPr>
      <w:r>
        <w:rPr>
          <w:b/>
          <w:bCs/>
          <w:szCs w:val="28"/>
        </w:rPr>
        <w:t>——茶谷休闲农业产业带。</w:t>
      </w:r>
      <w:r>
        <w:rPr>
          <w:szCs w:val="28"/>
        </w:rPr>
        <w:t>以六安茶谷为支撑平台，充分发挥特色农产品资源优势和山水生态资源优势，建设茶叶、油茶等特色产业规模化、标准化基地，创响一批茶谷小镇，建设一批茶谷小站、发展一批茶谷小院，推进沿线茶产业与休闲旅游、文化创意、科技创新、健康养生等产业深度融合发展，擦亮“中国十大名茶”六安瓜片原产地金字招牌，建设以“茶”为主题、以“谷”为纽带的休闲农业产业集聚带。</w:t>
      </w:r>
    </w:p>
    <w:p w14:paraId="218E2C90">
      <w:pPr>
        <w:ind w:firstLine="643"/>
        <w:rPr>
          <w:szCs w:val="32"/>
        </w:rPr>
      </w:pPr>
      <w:r>
        <w:rPr>
          <w:b/>
          <w:bCs/>
          <w:szCs w:val="28"/>
        </w:rPr>
        <w:t>——淠河生态农业产业带。</w:t>
      </w:r>
      <w:r>
        <w:rPr>
          <w:szCs w:val="28"/>
        </w:rPr>
        <w:t>以淠河生态经济带为支撑平台，依托淠河沿线优质农业资源和国家湿地公园，在强化生态系统治理和水源地保护的基础上，因地制宜发展高效设施农业、城郊农业、皖西白鹅等地方特色产业，集成应用绿色低碳农业技术，拓展农业生态保育、观光体验、文化传承、健康养生等多种功能价值，建设集安全带、生态带、文化带、观光带和富民带于一体的生态农业产业发展集聚带。</w:t>
      </w:r>
    </w:p>
    <w:p w14:paraId="68561F8A">
      <w:pPr>
        <w:pStyle w:val="3"/>
        <w:spacing w:beforeLines="50" w:afterLines="50" w:line="240" w:lineRule="auto"/>
        <w:ind w:firstLine="641"/>
        <w:jc w:val="left"/>
        <w:rPr>
          <w:rFonts w:ascii="Times New Roman" w:hAnsi="Times New Roman"/>
          <w:b w:val="0"/>
          <w:sz w:val="30"/>
          <w:szCs w:val="30"/>
        </w:rPr>
      </w:pPr>
      <w:bookmarkStart w:id="118" w:name="_Toc30738"/>
      <w:bookmarkStart w:id="119" w:name="_Toc20912"/>
      <w:bookmarkStart w:id="120" w:name="_Toc5555"/>
      <w:bookmarkStart w:id="121" w:name="_Toc17491"/>
      <w:bookmarkStart w:id="122" w:name="_Toc97033753"/>
      <w:bookmarkStart w:id="123" w:name="_Toc14506"/>
      <w:r>
        <w:rPr>
          <w:rFonts w:ascii="Times New Roman" w:hAnsi="Times New Roman"/>
          <w:b w:val="0"/>
          <w:sz w:val="30"/>
          <w:szCs w:val="30"/>
        </w:rPr>
        <w:t>（五）多园</w:t>
      </w:r>
      <w:bookmarkEnd w:id="118"/>
      <w:bookmarkEnd w:id="119"/>
      <w:bookmarkEnd w:id="120"/>
      <w:bookmarkEnd w:id="121"/>
      <w:bookmarkEnd w:id="122"/>
      <w:bookmarkEnd w:id="123"/>
    </w:p>
    <w:p w14:paraId="50325B47">
      <w:pPr>
        <w:ind w:firstLine="641"/>
        <w:rPr>
          <w:rFonts w:eastAsia="楷体_GB2312"/>
          <w:b/>
          <w:bCs/>
          <w:color w:val="000000"/>
          <w:szCs w:val="28"/>
        </w:rPr>
      </w:pPr>
      <w:r>
        <w:rPr>
          <w:rFonts w:eastAsia="楷体_GB2312"/>
          <w:b/>
          <w:bCs/>
          <w:color w:val="000000"/>
          <w:szCs w:val="28"/>
        </w:rPr>
        <w:t>“多园”即多个现代产业园区，包括林寨省级现代农业示范区、裕安区现代农业产业园、绿色食品加工园、电商创业园、</w:t>
      </w:r>
      <w:r>
        <w:rPr>
          <w:rFonts w:eastAsia="楷体_GB2312"/>
          <w:b/>
          <w:bCs/>
          <w:szCs w:val="28"/>
        </w:rPr>
        <w:t>农产品物流园等。</w:t>
      </w:r>
    </w:p>
    <w:p w14:paraId="295D9491">
      <w:pPr>
        <w:pStyle w:val="4"/>
        <w:spacing w:line="240" w:lineRule="auto"/>
        <w:ind w:left="0" w:leftChars="0" w:firstLine="533" w:firstLineChars="196"/>
        <w:rPr>
          <w:color w:val="000000"/>
          <w:sz w:val="28"/>
          <w:szCs w:val="28"/>
        </w:rPr>
      </w:pPr>
      <w:r>
        <w:rPr>
          <w:rFonts w:eastAsia="宋体"/>
          <w:b/>
          <w:bCs/>
          <w:color w:val="000000"/>
          <w:sz w:val="28"/>
          <w:szCs w:val="28"/>
        </w:rPr>
        <w:t>——</w:t>
      </w:r>
      <w:r>
        <w:rPr>
          <w:b/>
          <w:bCs/>
          <w:color w:val="000000"/>
          <w:sz w:val="28"/>
          <w:szCs w:val="28"/>
        </w:rPr>
        <w:t>林寨省级现代农业示范区。</w:t>
      </w:r>
      <w:r>
        <w:rPr>
          <w:color w:val="000000"/>
          <w:sz w:val="28"/>
          <w:szCs w:val="28"/>
        </w:rPr>
        <w:t>规划范围包括江家店、分路口、丁集等乡镇，总面积13万亩，其中规划核心区面积5万亩，辐射区面积8万亩，以规模化粮油种植、集约化养殖、经济作物种植及花卉苗木生产为主导，重点打造“一轴三块九区”，即以六叶路为轴线，开展高效种植示范、循环经济示范、生态农业观光示范，打造好高产科技攻关区、三新技术推广示范区、设施农业区、生态种植示范区、特种水产养殖区、生态林业示范区、生态系统立体农业区、休闲农业观光区和农产品加工贸易区。</w:t>
      </w:r>
    </w:p>
    <w:p w14:paraId="28D663F7">
      <w:pPr>
        <w:ind w:firstLine="643"/>
        <w:rPr>
          <w:color w:val="000000"/>
          <w:szCs w:val="28"/>
        </w:rPr>
      </w:pPr>
      <w:r>
        <w:rPr>
          <w:b/>
          <w:bCs/>
          <w:color w:val="000000"/>
          <w:szCs w:val="28"/>
        </w:rPr>
        <w:t>——裕安区现代农业产业园。</w:t>
      </w:r>
      <w:r>
        <w:rPr>
          <w:color w:val="000000"/>
          <w:szCs w:val="28"/>
        </w:rPr>
        <w:t>布局在裕安区西北部，包括固镇镇及罗集乡18个行政村，总面积15万亩，其中耕地面积10.6万亩。重点对标创建国家级现代农业产业园，突出“一白一绿”（皖西白鹅、优质水稻）两大主导产业，构建“一带、一核、两园、两基地”空间布局，推进一二三产深度融合，力争到2023年获批创建国家级现代农业产业园资格，到2025年创建成国家级现代农业产业园，园区年总产值超50亿元，农产品加工转化率达90%以上，良种良法覆盖率达100%，园区内农民人均可支配收入高出全区平均水平30%以上。</w:t>
      </w:r>
    </w:p>
    <w:p w14:paraId="7A6CD379">
      <w:pPr>
        <w:ind w:firstLine="643"/>
        <w:rPr>
          <w:color w:val="000000"/>
          <w:szCs w:val="28"/>
        </w:rPr>
      </w:pPr>
      <w:r>
        <w:rPr>
          <w:b/>
          <w:bCs/>
          <w:color w:val="000000"/>
          <w:szCs w:val="28"/>
        </w:rPr>
        <w:t>——绿色食品加工园。</w:t>
      </w:r>
      <w:r>
        <w:rPr>
          <w:szCs w:val="28"/>
        </w:rPr>
        <w:t>包括独山六安瓜片加工园、固镇绿色食品加工产业园、罗集粮食加工园、青山油茶加工园、徐集中药材加工园、顺河乳制品加工园等绿色食品加工园区。</w:t>
      </w:r>
      <w:r>
        <w:rPr>
          <w:color w:val="000000"/>
          <w:szCs w:val="28"/>
        </w:rPr>
        <w:t>按照农产品初加工、精深加工和综合利用加工“三加叠进”的路径，以延伸产业链、提升价值链，实现品牌粮食、特色畜禽、名优茶叶、优质蔬菜、精品水果、高品质水产、道地中药材等特色农产品加工增值增效为重点，通过招商引资和扶优扶强的方式，引进和培育一批主食食品、休闲食品、功能食品、保健食品精深加工企业，承接、消化、吸收、转化、再创新绿色食品精深加工技术，推进绿色食品加工企业向园区集聚，培育一批拥有自主知识产权的创新型企业，形成产业集聚度高、核心竞争力强、专业化分工细、产品特色显著的绿色食品产业体系，建设在长三角地区乃至全国具有重要影响力的绿色食品加工基地。</w:t>
      </w:r>
    </w:p>
    <w:p w14:paraId="6440E647">
      <w:pPr>
        <w:ind w:firstLine="643"/>
        <w:rPr>
          <w:color w:val="000000"/>
          <w:szCs w:val="28"/>
        </w:rPr>
      </w:pPr>
      <w:r>
        <w:rPr>
          <w:b/>
          <w:bCs/>
          <w:color w:val="000000"/>
          <w:szCs w:val="28"/>
        </w:rPr>
        <w:t>——电商创业园。</w:t>
      </w:r>
      <w:r>
        <w:rPr>
          <w:szCs w:val="28"/>
        </w:rPr>
        <w:t>布局在顺河镇，重点突出品牌农产品展示、智能仓储、冷链物流、电子商务、贸易洽谈、职业培训、创业孵化、金融服务等功能，搭建全区生鲜蔬菜及绿色食品上行平台、电商服务中心、产品推广平台和创新创业孵化器，推动物流企业、涉农电商、网络技术、品牌营销、摄影美工等第三方服务企业向园区集聚，吸引返乡农民工、大中专院校毕业生、退伍军人、科技人员到园区创新创业，打造长三角区域性绿色食品电商物流集散中心，为提高全区优质蔬菜和绿色食品物流效能提供支撑，为“互联网+”新产业新业态发展提供引领，为农业品牌培育和产品推广提供服务。</w:t>
      </w:r>
    </w:p>
    <w:p w14:paraId="27B77EE7">
      <w:pPr>
        <w:ind w:firstLine="643"/>
        <w:rPr>
          <w:szCs w:val="28"/>
        </w:rPr>
      </w:pPr>
      <w:r>
        <w:rPr>
          <w:b/>
          <w:bCs/>
          <w:szCs w:val="28"/>
        </w:rPr>
        <w:t>——农产品物流园。</w:t>
      </w:r>
      <w:r>
        <w:rPr>
          <w:szCs w:val="28"/>
        </w:rPr>
        <w:t>包括皖西农产品交易市场、城南农产品商贸物流园、紫竹林农产品批发市场等。发挥合六同城区位优势，以提升特色农产品及绿色食品物流效能为重点，强化物流园区基础设施及产业配套设施建设，完善分选包装、信息发布、冷链物流、电子结算、检验检测等服务功能，引导绿色食品加工企业与专业化冷链物流企业资源整合、集聚发展，共同开展“公司+基地+冷链物流”“中央厨房+冷链配送”等供应模式创新，发展多层次、开放式、社会化的特色农产品及绿色食品物流体系，构建集仓储、贸易、物流、配送、批发为一体的综合性、多功能、大型农产品物流基地，实现以食品加工业牵动种养业、以现代流通业促进加工业的三产融合发展格局，全面提高特色农产品转化增值率和产业竞争力，打造面向长三角的特色农产品及绿色食品集散中转枢纽和生产供应基地。</w:t>
      </w:r>
    </w:p>
    <w:p w14:paraId="3B760B3C">
      <w:pPr>
        <w:pStyle w:val="4"/>
        <w:ind w:left="544" w:firstLine="624"/>
        <w:sectPr>
          <w:footerReference r:id="rId9" w:type="default"/>
          <w:pgSz w:w="11906" w:h="16838"/>
          <w:pgMar w:top="1871" w:right="1588" w:bottom="1588" w:left="1588" w:header="1134" w:footer="794" w:gutter="0"/>
          <w:pgNumType w:start="1"/>
          <w:cols w:space="720" w:num="1"/>
          <w:docGrid w:type="linesAndChars" w:linePitch="445" w:charSpace="-1683"/>
        </w:sectPr>
      </w:pPr>
    </w:p>
    <w:p w14:paraId="3380323C">
      <w:pPr>
        <w:pStyle w:val="2"/>
        <w:spacing w:before="312" w:after="312" w:line="600" w:lineRule="exact"/>
        <w:jc w:val="center"/>
        <w:rPr>
          <w:rFonts w:ascii="Times New Roman" w:hAnsi="Times New Roman" w:eastAsia="方正小标宋简体"/>
          <w:b w:val="0"/>
          <w:sz w:val="36"/>
          <w:szCs w:val="36"/>
        </w:rPr>
      </w:pPr>
      <w:bookmarkStart w:id="124" w:name="_Toc28007"/>
      <w:bookmarkStart w:id="125" w:name="_Toc4871"/>
      <w:bookmarkStart w:id="126" w:name="_Toc24076"/>
      <w:bookmarkStart w:id="127" w:name="_Toc20130"/>
      <w:bookmarkStart w:id="128" w:name="_Toc97033754"/>
      <w:bookmarkStart w:id="129" w:name="_Toc31407"/>
      <w:bookmarkStart w:id="130" w:name="_Toc24243"/>
      <w:bookmarkStart w:id="131" w:name="_Toc17329"/>
      <w:r>
        <w:rPr>
          <w:rFonts w:ascii="Times New Roman" w:hAnsi="Times New Roman" w:eastAsia="方正小标宋简体"/>
          <w:b w:val="0"/>
          <w:sz w:val="36"/>
          <w:szCs w:val="36"/>
        </w:rPr>
        <w:t>四、夯实发展基础，提升农业供给保障水平</w:t>
      </w:r>
      <w:bookmarkEnd w:id="124"/>
      <w:bookmarkEnd w:id="125"/>
      <w:bookmarkEnd w:id="126"/>
      <w:bookmarkEnd w:id="127"/>
      <w:bookmarkEnd w:id="128"/>
      <w:bookmarkEnd w:id="129"/>
      <w:bookmarkEnd w:id="130"/>
      <w:bookmarkEnd w:id="131"/>
    </w:p>
    <w:p w14:paraId="3087414E">
      <w:pPr>
        <w:ind w:firstLine="641"/>
        <w:rPr>
          <w:szCs w:val="28"/>
        </w:rPr>
      </w:pPr>
      <w:r>
        <w:rPr>
          <w:szCs w:val="28"/>
        </w:rPr>
        <w:t>严格落实粮食安全党政同责，深入实施“藏粮于地、藏粮于技”战略，坚决扛稳重要农产品安全重任，加快建设高标准农田，加力推进农业绿色发展，提高农业抗风险能力，确保重要农产品供给稳定优质。</w:t>
      </w:r>
      <w:bookmarkStart w:id="132" w:name="_Toc13380"/>
      <w:bookmarkStart w:id="133" w:name="_Toc17429"/>
      <w:bookmarkStart w:id="134" w:name="_Toc31130"/>
      <w:bookmarkStart w:id="135" w:name="_Toc20107"/>
      <w:bookmarkStart w:id="136" w:name="_Toc7817"/>
    </w:p>
    <w:p w14:paraId="67A60D58">
      <w:pPr>
        <w:pStyle w:val="3"/>
        <w:spacing w:beforeLines="50" w:afterLines="50" w:line="240" w:lineRule="auto"/>
        <w:ind w:firstLine="641"/>
        <w:jc w:val="left"/>
        <w:rPr>
          <w:rFonts w:ascii="Times New Roman" w:hAnsi="Times New Roman"/>
          <w:b w:val="0"/>
          <w:sz w:val="30"/>
          <w:szCs w:val="30"/>
        </w:rPr>
      </w:pPr>
      <w:bookmarkStart w:id="137" w:name="_Toc97033755"/>
      <w:bookmarkStart w:id="138" w:name="_Toc2805"/>
      <w:bookmarkStart w:id="139" w:name="_Toc5488"/>
      <w:r>
        <w:rPr>
          <w:rFonts w:ascii="Times New Roman" w:hAnsi="Times New Roman"/>
          <w:b w:val="0"/>
          <w:sz w:val="30"/>
          <w:szCs w:val="30"/>
        </w:rPr>
        <w:t>（一）</w:t>
      </w:r>
      <w:bookmarkEnd w:id="132"/>
      <w:bookmarkEnd w:id="133"/>
      <w:r>
        <w:rPr>
          <w:rFonts w:ascii="Times New Roman" w:hAnsi="Times New Roman"/>
          <w:b w:val="0"/>
          <w:sz w:val="30"/>
          <w:szCs w:val="30"/>
        </w:rPr>
        <w:t>推进种养业提质增效</w:t>
      </w:r>
      <w:bookmarkEnd w:id="134"/>
      <w:bookmarkEnd w:id="135"/>
      <w:bookmarkEnd w:id="136"/>
      <w:bookmarkEnd w:id="137"/>
      <w:bookmarkEnd w:id="138"/>
      <w:bookmarkEnd w:id="139"/>
    </w:p>
    <w:p w14:paraId="4E589CDB">
      <w:pPr>
        <w:ind w:firstLine="643"/>
        <w:rPr>
          <w:szCs w:val="28"/>
        </w:rPr>
      </w:pPr>
      <w:r>
        <w:rPr>
          <w:rFonts w:eastAsia="楷体_GB2312"/>
          <w:b/>
          <w:bCs/>
          <w:szCs w:val="28"/>
        </w:rPr>
        <w:t>稳定粮食生产能力。</w:t>
      </w:r>
      <w:r>
        <w:rPr>
          <w:szCs w:val="28"/>
        </w:rPr>
        <w:t>严格落实粮食安全党政同责要求，全面落实粮食产量面积和保障目标任务，持续加强77万亩粮食生产功能区建设，巩固提升粮食产能。深入实施优质粮食工程，坚持产、购、储、加、销“五优联动”，推进裕安区全国绿色食品（水稻）原料标准化生产基地提质增效，以分路口、江家店、丁集、罗集、徐集等粮食主产乡镇为重点，建设一批优质专用水稻万亩示范片、优质小麦单一品种规模化种植万亩示范片、稻渔（虾）综合种养标准化示范基地。稳定和强化种粮农民补贴，执行稻谷、小麦最低收购价政策，积极开展稻谷、小麦完全成本保险和收入保险试点。确保全区粮食播种面积稳定在120万亩左右，总产能站稳45万吨台阶。</w:t>
      </w:r>
    </w:p>
    <w:p w14:paraId="706D8044">
      <w:pPr>
        <w:pStyle w:val="13"/>
        <w:spacing w:line="240" w:lineRule="auto"/>
        <w:ind w:firstLine="548"/>
        <w:rPr>
          <w:spacing w:val="-6"/>
          <w:sz w:val="28"/>
          <w:szCs w:val="28"/>
        </w:rPr>
      </w:pPr>
      <w:r>
        <w:rPr>
          <w:rFonts w:eastAsia="楷体_GB2312"/>
          <w:b/>
          <w:bCs/>
          <w:sz w:val="28"/>
          <w:szCs w:val="28"/>
        </w:rPr>
        <w:t>推进茶果菜多样化发展。</w:t>
      </w:r>
      <w:r>
        <w:rPr>
          <w:sz w:val="28"/>
          <w:szCs w:val="28"/>
        </w:rPr>
        <w:t>推进“六安茶谷”建设，加快低产低效茶园改造提升，加强生态茶园建设，在独山、石婆店、西河口、石板冲、青山等乡镇集中建设一批高档名茶标准化生产基地。推进“江淮果岭”建设，以狮子岗乡为核心，辐射带动分路口、石板冲、青山、徐集、江家店、新安、顺河、单王、罗集等乡镇，大力发展桃、梨、葡萄、猕猴桃、樱桃、草莓、蓝莓等特色林果标准化生产。优化</w:t>
      </w:r>
      <w:r>
        <w:rPr>
          <w:spacing w:val="-6"/>
          <w:sz w:val="28"/>
          <w:szCs w:val="28"/>
        </w:rPr>
        <w:t>蔬菜产业布局，巩固国家级蔬菜优质高效种植示范区先行优势</w:t>
      </w:r>
      <w:r>
        <w:rPr>
          <w:sz w:val="28"/>
          <w:szCs w:val="28"/>
        </w:rPr>
        <w:t>，</w:t>
      </w:r>
      <w:r>
        <w:rPr>
          <w:spacing w:val="-6"/>
          <w:sz w:val="28"/>
          <w:szCs w:val="28"/>
        </w:rPr>
        <w:t>以新安、顺河、单王、分路口、城南、韩摆渡、苏埠、青山等沿淠乡镇为重点，推进水生蔬菜、食用菌、地膜毛豆、加工型萝卜、胡萝卜等特色蔬菜规模种植，鼓励建设高档棚室，发展设施蔬菜生产。到2025年，全区茶园面积达到20万亩左右，蔬菜种植面积达到40万亩，果园面积达到13万亩。</w:t>
      </w:r>
    </w:p>
    <w:p w14:paraId="4D055D57">
      <w:pPr>
        <w:pStyle w:val="13"/>
        <w:spacing w:line="240" w:lineRule="auto"/>
        <w:ind w:firstLine="548"/>
        <w:rPr>
          <w:spacing w:val="-6"/>
          <w:sz w:val="28"/>
          <w:szCs w:val="28"/>
        </w:rPr>
      </w:pPr>
      <w:r>
        <w:rPr>
          <w:rFonts w:eastAsia="楷体_GB2312"/>
          <w:b/>
          <w:bCs/>
          <w:sz w:val="28"/>
          <w:szCs w:val="28"/>
        </w:rPr>
        <w:t>大力发展现代畜牧业。</w:t>
      </w:r>
      <w:r>
        <w:rPr>
          <w:sz w:val="28"/>
          <w:szCs w:val="28"/>
        </w:rPr>
        <w:t>依据资源环境承载能力和国土空间开发适宜性评价，优化养殖区域布局，以</w:t>
      </w:r>
      <w:r>
        <w:rPr>
          <w:spacing w:val="-6"/>
          <w:sz w:val="28"/>
          <w:szCs w:val="28"/>
        </w:rPr>
        <w:t>独山镇、狮子岗乡、苏埠镇、分路口镇、徐集镇、顺河镇、罗集乡、单王乡等乡镇为重点，发展生猪规模养殖；以固镇镇为核心，在罗集乡、江家店镇、徐集镇、丁集镇、顺河镇、单王乡等乡镇发展皖西白鹅养殖；以狮子岗乡、石板冲乡、苏埠镇、分路口镇、韩摆渡镇等乡镇为重点，发展麻黄鸡养殖；以罗集乡、单王乡、顺河镇为重点发展蛋鸡养殖；以苏埠镇、韩摆渡镇、徐集镇、罗集乡、顺河镇等乡镇为重点，建设标准化肉羊养殖基地；以顺河镇为基地，开展奶牛标准化养殖和乳产品加工。全面推行“规模养殖、集中屠宰、冷链运输、冰鲜上市”模式，构建完善的现代畜禽养殖体系、动物防疫体系、加工流通体系、循环发展体系。到2025年，全区</w:t>
      </w:r>
      <w:r>
        <w:rPr>
          <w:sz w:val="28"/>
          <w:szCs w:val="28"/>
        </w:rPr>
        <w:t>生猪饲养量</w:t>
      </w:r>
      <w:r>
        <w:rPr>
          <w:spacing w:val="-6"/>
          <w:sz w:val="28"/>
          <w:szCs w:val="28"/>
        </w:rPr>
        <w:t>达到135万</w:t>
      </w:r>
      <w:r>
        <w:rPr>
          <w:sz w:val="28"/>
          <w:szCs w:val="28"/>
        </w:rPr>
        <w:t>头，年出栏100万头，家禽饲养量2200万只，其中皖西白鹅达400万只，肉羊饲养量18万只，奶牛存栏量达到1万头。</w:t>
      </w:r>
    </w:p>
    <w:p w14:paraId="1082D9C0">
      <w:pPr>
        <w:pStyle w:val="13"/>
        <w:spacing w:line="240" w:lineRule="auto"/>
        <w:ind w:firstLine="524"/>
        <w:rPr>
          <w:spacing w:val="-6"/>
          <w:sz w:val="28"/>
          <w:szCs w:val="28"/>
        </w:rPr>
      </w:pPr>
      <w:r>
        <w:rPr>
          <w:rFonts w:eastAsia="楷体_GB2312"/>
          <w:b/>
          <w:bCs/>
          <w:spacing w:val="-6"/>
          <w:sz w:val="28"/>
          <w:szCs w:val="28"/>
        </w:rPr>
        <w:t>促进渔业转型升级。</w:t>
      </w:r>
      <w:r>
        <w:rPr>
          <w:spacing w:val="-6"/>
          <w:sz w:val="28"/>
          <w:szCs w:val="28"/>
        </w:rPr>
        <w:t>严格落实养殖水域滩涂规划和养殖证核发，完善重要养殖水域滩涂保护制度，保证可养水域面积总体稳定。推进江淮小龙虾特色产业集群建设，规范发展稻渔综合种养，在固镇、江家店、罗集、丁集等乡镇布局建设一批稻渔（虾）综合种养示范基地。大力发展池塘标准化养殖，推进养殖池塘改造升级。积极发展休闲渔业，在苏埠、城南、韩摆渡、新安等乡镇集中建设一批休闲渔业示范基地。到2025年，全区池塘标准化养殖面积达到5万亩，稻渔（虾）综合种养面积达15万亩，创建市级城郊休闲渔业示范基地4个以上。</w:t>
      </w:r>
    </w:p>
    <w:p w14:paraId="5FD9211C">
      <w:pPr>
        <w:pStyle w:val="13"/>
        <w:spacing w:line="240" w:lineRule="auto"/>
        <w:ind w:firstLine="524"/>
        <w:rPr>
          <w:b/>
          <w:bCs/>
          <w:spacing w:val="-6"/>
          <w:szCs w:val="32"/>
        </w:rPr>
      </w:pPr>
      <w:r>
        <w:rPr>
          <w:rFonts w:eastAsia="楷体_GB2312"/>
          <w:b/>
          <w:bCs/>
          <w:spacing w:val="-6"/>
          <w:sz w:val="28"/>
          <w:szCs w:val="28"/>
        </w:rPr>
        <w:t>加快发展特色农林产业。</w:t>
      </w:r>
      <w:r>
        <w:rPr>
          <w:spacing w:val="-6"/>
          <w:sz w:val="28"/>
          <w:szCs w:val="28"/>
        </w:rPr>
        <w:t>加强道地中药材保护开发，依托“西山药库”建设，重点发展黄精、栀子、龙脑章、白芨、灵芝等大别山区本土道地中药材，加快建设规模化中药材种植基，到2025年，全区中药材规模种植面积达2.8万亩。积极发展油茶、山核桃、板栗、油牡丹等木本油料与坚果产业。实施大别山优质油茶产业提升工程，开展油茶标准化示范，推广名优品种和适用技术，培育一批特色明显、类型多样、竞争力强的专业村，到2025年，油茶基地面积保持在13万亩左右</w:t>
      </w:r>
      <w:r>
        <w:rPr>
          <w:b/>
          <w:bCs/>
          <w:spacing w:val="-6"/>
          <w:sz w:val="28"/>
          <w:szCs w:val="28"/>
        </w:rPr>
        <w:t>。</w:t>
      </w:r>
    </w:p>
    <w:p w14:paraId="045B2994">
      <w:pPr>
        <w:pStyle w:val="3"/>
        <w:spacing w:beforeLines="50" w:afterLines="50" w:line="240" w:lineRule="auto"/>
        <w:ind w:firstLine="641"/>
        <w:jc w:val="left"/>
        <w:rPr>
          <w:rFonts w:ascii="Times New Roman" w:hAnsi="Times New Roman"/>
          <w:b w:val="0"/>
          <w:sz w:val="30"/>
          <w:szCs w:val="30"/>
        </w:rPr>
      </w:pPr>
      <w:bookmarkStart w:id="140" w:name="_Toc15558"/>
      <w:bookmarkStart w:id="141" w:name="_Toc97033756"/>
      <w:bookmarkStart w:id="142" w:name="_Toc11077"/>
      <w:bookmarkStart w:id="143" w:name="_Toc90398705"/>
      <w:r>
        <w:rPr>
          <w:rFonts w:ascii="Times New Roman" w:hAnsi="Times New Roman"/>
          <w:b w:val="0"/>
          <w:sz w:val="30"/>
          <w:szCs w:val="30"/>
        </w:rPr>
        <w:t>（二）加强耕地保护与质量建设</w:t>
      </w:r>
      <w:bookmarkEnd w:id="140"/>
      <w:bookmarkEnd w:id="141"/>
      <w:bookmarkEnd w:id="142"/>
      <w:bookmarkEnd w:id="143"/>
    </w:p>
    <w:p w14:paraId="51FB61F4">
      <w:pPr>
        <w:ind w:firstLine="641"/>
        <w:rPr>
          <w:b/>
          <w:bCs/>
          <w:szCs w:val="28"/>
        </w:rPr>
      </w:pPr>
      <w:r>
        <w:rPr>
          <w:rFonts w:eastAsia="楷体_GB2312"/>
          <w:b/>
          <w:bCs/>
          <w:szCs w:val="28"/>
        </w:rPr>
        <w:t>落实耕地保护制度。</w:t>
      </w:r>
      <w:r>
        <w:rPr>
          <w:szCs w:val="28"/>
        </w:rPr>
        <w:t>全面实行田长制，建立健全五级田长制责任体系和相关配套制度，耕地优先用于粮食和油、棉、蔬菜等农产品生产，严格控制耕地转为林地、草地、园地等其他农用地，严禁违规占用耕地和违背自然规律绿化造林、挖湖造景。非农建设必须占用耕地的要节约集约用地，严格落实耕地占补平衡。加强粮食生产功能区和重要农产品生产保护区建设和管护。强化耕地质量和农田生态保护，根据土地利用变化和土壤环境质量变化情况，动态调整耕地土壤环境质量类别划分成果，全面推行耕地分类管理，强化轻中度污染耕地的安全利用，因地制宜开展重度污染耕地种植结构调整和退耕还林。确保到“十四五”末全区耕地面积不减、质量提升、布局稳定。</w:t>
      </w:r>
    </w:p>
    <w:p w14:paraId="7073E1A9">
      <w:pPr>
        <w:ind w:firstLine="641"/>
      </w:pPr>
      <w:r>
        <w:rPr>
          <w:rFonts w:eastAsia="楷体_GB2312"/>
          <w:b/>
          <w:bCs/>
          <w:szCs w:val="28"/>
        </w:rPr>
        <w:t>加快建设高标准农田。</w:t>
      </w:r>
      <w:r>
        <w:rPr>
          <w:szCs w:val="28"/>
        </w:rPr>
        <w:t>以粮食生产功能区、重要农产品生产保护区为重点，大力推进高标准农田建设，加大土地平整、土壤改良、灌溉排水、田间道路、农田防护与生态环境保持、农田输配电、科技服务、建后管护等建设力度。鼓励村集体经济组织、新型农业经营主体参与高标准农田建设。建立健全区级统筹、多渠道筹集的管护资金保障机制，通过奖补激励，引导和激励各类受益或管护主体参与高标准农田设施的运行管护。到2025年，建成高标准农田85万亩。</w:t>
      </w:r>
    </w:p>
    <w:p w14:paraId="0B22291F">
      <w:pPr>
        <w:pStyle w:val="3"/>
        <w:spacing w:beforeLines="50" w:afterLines="50" w:line="240" w:lineRule="auto"/>
        <w:ind w:firstLine="641"/>
        <w:jc w:val="left"/>
        <w:rPr>
          <w:rFonts w:ascii="Times New Roman" w:hAnsi="Times New Roman"/>
          <w:b w:val="0"/>
          <w:sz w:val="30"/>
          <w:szCs w:val="30"/>
        </w:rPr>
      </w:pPr>
      <w:bookmarkStart w:id="144" w:name="_Toc8635"/>
      <w:bookmarkStart w:id="145" w:name="_Toc25734"/>
      <w:bookmarkStart w:id="146" w:name="_Toc30070"/>
      <w:bookmarkStart w:id="147" w:name="_Toc21871"/>
      <w:bookmarkStart w:id="148" w:name="_Toc4394"/>
      <w:bookmarkStart w:id="149" w:name="_Toc18121"/>
      <w:bookmarkStart w:id="150" w:name="_Toc10534"/>
      <w:bookmarkStart w:id="151" w:name="_Toc97033757"/>
      <w:r>
        <w:rPr>
          <w:rFonts w:ascii="Times New Roman" w:hAnsi="Times New Roman"/>
          <w:b w:val="0"/>
          <w:sz w:val="30"/>
          <w:szCs w:val="30"/>
        </w:rPr>
        <w:t>（三）推进农业标准化和绿色发展</w:t>
      </w:r>
      <w:bookmarkEnd w:id="144"/>
      <w:bookmarkEnd w:id="145"/>
      <w:bookmarkEnd w:id="146"/>
      <w:bookmarkEnd w:id="147"/>
      <w:bookmarkEnd w:id="148"/>
      <w:bookmarkEnd w:id="149"/>
      <w:bookmarkEnd w:id="150"/>
      <w:bookmarkEnd w:id="151"/>
    </w:p>
    <w:p w14:paraId="5C50BDC4">
      <w:pPr>
        <w:ind w:firstLine="643"/>
        <w:rPr>
          <w:szCs w:val="28"/>
        </w:rPr>
      </w:pPr>
      <w:r>
        <w:rPr>
          <w:rFonts w:eastAsia="楷体_GB2312"/>
          <w:b/>
          <w:bCs/>
          <w:szCs w:val="28"/>
        </w:rPr>
        <w:t>推动农业全产业链标准化。</w:t>
      </w:r>
      <w:r>
        <w:rPr>
          <w:szCs w:val="28"/>
        </w:rPr>
        <w:t>按照“有标采标、无标创标、全程贯标”的要求，加快产地环境、投入品管控、农兽药残留、产品加工、储运保鲜、品牌打造、分等分级关键环节标准的制修订，推动建立现代农业全产业链标准体系，建设一批现代农业全产业链标准集成应用基地，培育一批农业企业标准“领跑者”，示范带动各类农业经营主体实行标准化生产。在现代农业示范区、现代农业产业园、优势特色产业集群、农业产业强镇等，全域推行农业标准化生产。加强宣贯和跟踪评价，实施“四个一”贯标活动（即编制一套简明适用的标准宣贯材料，组建一支根植基层的标准专家服务队伍，组织一批有影响力的观摩培训活动，培育一批绿色优质农产品精品），开展全产业链标准体系及相关标准综合体的实施应用跟踪评价，不断提升农业标准化水平。</w:t>
      </w:r>
    </w:p>
    <w:p w14:paraId="47166A6F">
      <w:pPr>
        <w:ind w:firstLine="643"/>
        <w:rPr>
          <w:szCs w:val="28"/>
          <w:highlight w:val="yellow"/>
        </w:rPr>
      </w:pPr>
      <w:r>
        <w:rPr>
          <w:rFonts w:eastAsia="楷体_GB2312"/>
          <w:b/>
          <w:bCs/>
          <w:szCs w:val="28"/>
        </w:rPr>
        <w:t>促进农业投入品减量增效。</w:t>
      </w:r>
      <w:r>
        <w:rPr>
          <w:szCs w:val="28"/>
        </w:rPr>
        <w:t>集成推广化肥减量增效技术，测土配方施肥技术覆盖率保持在90%以上，试行化肥施用定额制，到2025年</w:t>
      </w:r>
      <w:bookmarkStart w:id="152" w:name="_Hlk94229633"/>
      <w:r>
        <w:rPr>
          <w:szCs w:val="28"/>
        </w:rPr>
        <w:t>主要农作物化肥利用率达到43%</w:t>
      </w:r>
      <w:bookmarkEnd w:id="152"/>
      <w:r>
        <w:rPr>
          <w:szCs w:val="28"/>
        </w:rPr>
        <w:t>。加强农药销售管理，完善农药风险评估技术标准体系，集成应用全程农药减量增效技术，推广病虫害全程绿色防控，到2025年，</w:t>
      </w:r>
      <w:bookmarkStart w:id="153" w:name="_Hlk94229678"/>
      <w:r>
        <w:rPr>
          <w:szCs w:val="28"/>
        </w:rPr>
        <w:t>主要农作物病虫害专业化统防统治覆盖率达到50%以上，病虫害绿色防控覆盖率达到60%以上，农药使用量降至基期（2012-2014年均值）的70%。</w:t>
      </w:r>
      <w:bookmarkEnd w:id="153"/>
      <w:r>
        <w:rPr>
          <w:szCs w:val="28"/>
        </w:rPr>
        <w:t>加强农膜市场监管，示范推广农膜科学使用技术，减量使用传统地膜、推广应用安全可控替代产品，加强农膜及农药包装废弃物回收体系建设，到2025年农膜及农药包装废弃物基本实现全量回收，农田污染得到有效防控。严格落实兽药使用休药期规定，规范使用饲料添加剂，减量使用兽用抗菌药物，实施药物饲料添加剂退出计划。</w:t>
      </w:r>
    </w:p>
    <w:p w14:paraId="0B5EAFF4">
      <w:pPr>
        <w:pStyle w:val="13"/>
        <w:spacing w:line="240" w:lineRule="auto"/>
        <w:ind w:firstLine="548"/>
        <w:rPr>
          <w:sz w:val="28"/>
          <w:szCs w:val="28"/>
        </w:rPr>
      </w:pPr>
      <w:r>
        <w:rPr>
          <w:rFonts w:eastAsia="楷体_GB2312"/>
          <w:b/>
          <w:bCs/>
          <w:sz w:val="28"/>
          <w:szCs w:val="28"/>
        </w:rPr>
        <w:t>提高农业废弃物资源化利用水平。</w:t>
      </w:r>
      <w:r>
        <w:rPr>
          <w:sz w:val="28"/>
          <w:szCs w:val="28"/>
        </w:rPr>
        <w:t>完善秸秆和畜禽粪污等资源化利用制度。深入开展秸秆收储体系建设，加快发展秸秆能源化、原料化利用，支持秸秆饲料化、基料化利用，提高秸秆机械化还田技术水平，到2025年，全区主要农作物秸秆综合利用率达到93%以上。强化规模养殖场配套畜禽粪污处理和资源化利用设施，以及区域粪污处理中心和区域网格化智能平台建设，大力推进畜禽养殖废弃物资源化利用，实现区域畜禽养殖绿色可持续发展。到2025年，全区畜禽规模养殖场粪污处理设施装备配套率达到100%，畜禽粪污综合利用率达到93%以上。</w:t>
      </w:r>
    </w:p>
    <w:p w14:paraId="5C190969">
      <w:pPr>
        <w:shd w:val="clear" w:color="auto" w:fill="FFFFFF"/>
        <w:ind w:firstLine="643"/>
        <w:rPr>
          <w:szCs w:val="28"/>
        </w:rPr>
      </w:pPr>
      <w:r>
        <w:rPr>
          <w:rFonts w:eastAsia="楷体_GB2312"/>
          <w:b/>
          <w:bCs/>
          <w:szCs w:val="28"/>
        </w:rPr>
        <w:t>加强农业资源保护与高效利用。</w:t>
      </w:r>
      <w:r>
        <w:rPr>
          <w:szCs w:val="28"/>
        </w:rPr>
        <w:t>以建设合肥都市圈乃至长三角地区绿色生态安全屏障为重点推动水源涵养、森林增长、湿地保护。加强区域水环境治理，实施饮用水水源地规范化建设、淮河支流裕安段水环境综合治理等工程项目，积极推动淠河、汲河综合治理纳入淮河经济带建设整体项目。加强水资源节约、开发、利用、保护、配置、调度等环节工作，落实节水优先方针，集中力量解决乱占、乱采、乱堆、乱建等问题。加强“水”监管，统筹解决水多、水少、水脏、水浑等问题。实施森林质量精准提升工程，加快国家储备林及用材林基地建设，打造茶谷沿线森林城镇带、森林村庄群。积极推进湿地修复，加强滨河带生态建设。</w:t>
      </w:r>
    </w:p>
    <w:p w14:paraId="71E92562">
      <w:pPr>
        <w:pStyle w:val="3"/>
        <w:spacing w:beforeLines="50" w:afterLines="50" w:line="240" w:lineRule="auto"/>
        <w:ind w:firstLine="641"/>
        <w:jc w:val="left"/>
        <w:rPr>
          <w:rFonts w:ascii="Times New Roman" w:hAnsi="Times New Roman"/>
          <w:b w:val="0"/>
          <w:sz w:val="30"/>
          <w:szCs w:val="30"/>
        </w:rPr>
      </w:pPr>
      <w:bookmarkStart w:id="154" w:name="_Toc13632"/>
      <w:bookmarkStart w:id="155" w:name="_Toc97033758"/>
      <w:bookmarkStart w:id="156" w:name="_Toc24431"/>
      <w:bookmarkStart w:id="157" w:name="_Toc6530"/>
      <w:bookmarkStart w:id="158" w:name="_Toc5378"/>
      <w:bookmarkStart w:id="159" w:name="_Toc11600"/>
      <w:bookmarkStart w:id="160" w:name="_Toc13471"/>
      <w:bookmarkStart w:id="161" w:name="_Toc22857"/>
      <w:r>
        <w:rPr>
          <w:rFonts w:ascii="Times New Roman" w:hAnsi="Times New Roman"/>
          <w:b w:val="0"/>
          <w:sz w:val="30"/>
          <w:szCs w:val="30"/>
        </w:rPr>
        <w:t>（四）提高安全生产能力</w:t>
      </w:r>
      <w:bookmarkEnd w:id="154"/>
      <w:bookmarkEnd w:id="155"/>
      <w:bookmarkEnd w:id="156"/>
      <w:bookmarkEnd w:id="157"/>
      <w:bookmarkEnd w:id="158"/>
      <w:bookmarkEnd w:id="159"/>
      <w:bookmarkEnd w:id="160"/>
      <w:bookmarkEnd w:id="161"/>
    </w:p>
    <w:p w14:paraId="0FACD75D">
      <w:pPr>
        <w:ind w:firstLine="643"/>
        <w:rPr>
          <w:szCs w:val="28"/>
        </w:rPr>
      </w:pPr>
      <w:r>
        <w:rPr>
          <w:rFonts w:eastAsia="楷体_GB2312"/>
          <w:b/>
          <w:bCs/>
          <w:szCs w:val="28"/>
        </w:rPr>
        <w:t>健全农业安全生产体系。</w:t>
      </w:r>
      <w:r>
        <w:rPr>
          <w:szCs w:val="28"/>
        </w:rPr>
        <w:t>落实农业安全生产责任制，开展农业安全生产风险预警评估，加大农业安全生产投入力度。推进清凉寺分干渠试点项目，推广实施分干渠现代化改造，实施汲东干渠段续建配套与节水改造工程、汲东干渠重要支渠配套工程。加强气象基础设施和服务体系建设，完善农业气象综合监测网络，提升农业气象灾害防范能力。加强农机安全监督管理，巩固省级“平安农机示范区”创建成果。积极开展“平安渔业示范区”创建，完善全区渔政执法监管指挥调度体系。</w:t>
      </w:r>
    </w:p>
    <w:p w14:paraId="4A3E3A95">
      <w:pPr>
        <w:ind w:firstLine="643"/>
        <w:rPr>
          <w:szCs w:val="28"/>
        </w:rPr>
      </w:pPr>
      <w:r>
        <w:rPr>
          <w:rFonts w:eastAsia="楷体_GB2312"/>
          <w:b/>
          <w:bCs/>
          <w:szCs w:val="28"/>
        </w:rPr>
        <w:t>加强动植物疫病综合防控。</w:t>
      </w:r>
      <w:r>
        <w:rPr>
          <w:szCs w:val="28"/>
        </w:rPr>
        <w:t>推动重大病虫害疫情监测预警网络化、数字化和智能化，加强农作物病虫害疫情应急防控、联防联控、专业化防治和绿色防控，突出抓好水稻“两迁”害虫、稻瘟病、稻曲病和小麦赤霉病等迁飞性、流行性、暴发性病虫害监测与防控。全面提升动物疫病监测预警能力，加强非洲猪瘟、口蹄疫、高致病性禽流感、小反刍兽疫等重大动物疫病和水生动物疫病防控，推进动物疫病区域化管理。完善重大动物疫病强制免疫和扑杀补助政策，积极推进病死畜禽无害化处理，推进生猪屠宰企业标准化创建。加强农业生物安全能力建设，强化农业外来入侵生物防控和转基因作物监管。</w:t>
      </w:r>
    </w:p>
    <w:p w14:paraId="6AE6B916">
      <w:pPr>
        <w:ind w:firstLine="643"/>
        <w:rPr>
          <w:szCs w:val="28"/>
        </w:rPr>
      </w:pPr>
      <w:r>
        <w:rPr>
          <w:rFonts w:eastAsia="楷体_GB2312"/>
          <w:b/>
          <w:bCs/>
        </w:rPr>
        <w:t>加强农产品质量安全监管。</w:t>
      </w:r>
      <w:r>
        <w:t>深化农产品质量安全例行监测和监督抽查，强化监测结果通报与应用，提升农产品监测数据质量。健全农产品追溯制度，推进区级监测信息和乡镇农产品快检系统监测信息上传省级平台，实现农产品质量安全监测数据一网统管。完善生产主体名录，强化日常巡查检查，严格落实“双随机”要求，扎实开展监督抽查、飞行检查，加强监测结果信息会商，针对问题突出乡镇和产品加大抽检力度。加快农业信用体系建设，全面推行农产品质量安全“红榜”和“黑名单”制度，把农产品质量安全信用作为各类农业项目评选、主体资格审查、行政许可审批、制定分类监管措施的必要条件，加强信用信息公开，对失信市场主体开展联合惩戒。</w:t>
      </w:r>
    </w:p>
    <w:tbl>
      <w:tblPr>
        <w:tblStyle w:val="20"/>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5"/>
      </w:tblGrid>
      <w:tr w14:paraId="50A0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8885" w:type="dxa"/>
            <w:vAlign w:val="center"/>
          </w:tcPr>
          <w:p w14:paraId="76D05ED6">
            <w:pPr>
              <w:pStyle w:val="3"/>
              <w:spacing w:before="0" w:after="0" w:line="240" w:lineRule="auto"/>
              <w:jc w:val="center"/>
              <w:rPr>
                <w:rFonts w:ascii="Times New Roman" w:hAnsi="Times New Roman"/>
                <w:sz w:val="28"/>
                <w:szCs w:val="28"/>
              </w:rPr>
            </w:pPr>
            <w:bookmarkStart w:id="162" w:name="_Toc29812"/>
            <w:bookmarkStart w:id="163" w:name="_Toc31609"/>
            <w:bookmarkStart w:id="164" w:name="_Toc13327"/>
            <w:bookmarkStart w:id="165" w:name="_Toc22486"/>
            <w:bookmarkStart w:id="166" w:name="_Toc97033759"/>
            <w:bookmarkStart w:id="167" w:name="_Toc22597"/>
            <w:bookmarkStart w:id="168" w:name="_Toc16140"/>
            <w:r>
              <w:rPr>
                <w:rFonts w:ascii="Times New Roman" w:hAnsi="Times New Roman"/>
                <w:sz w:val="28"/>
                <w:szCs w:val="28"/>
              </w:rPr>
              <w:t>专栏2 粮食等重要农产品安全保障行动</w:t>
            </w:r>
            <w:bookmarkEnd w:id="162"/>
            <w:bookmarkEnd w:id="163"/>
            <w:bookmarkEnd w:id="164"/>
            <w:bookmarkEnd w:id="165"/>
            <w:bookmarkEnd w:id="166"/>
            <w:bookmarkEnd w:id="167"/>
            <w:bookmarkEnd w:id="168"/>
          </w:p>
        </w:tc>
      </w:tr>
      <w:tr w14:paraId="5698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trPr>
        <w:tc>
          <w:tcPr>
            <w:tcW w:w="8885" w:type="dxa"/>
          </w:tcPr>
          <w:p w14:paraId="4CD9CCB3">
            <w:pPr>
              <w:ind w:firstLine="562"/>
              <w:rPr>
                <w:szCs w:val="28"/>
              </w:rPr>
            </w:pPr>
            <w:r>
              <w:rPr>
                <w:bCs/>
                <w:szCs w:val="28"/>
              </w:rPr>
              <w:t>1.</w:t>
            </w:r>
            <w:r>
              <w:rPr>
                <w:rFonts w:eastAsia="楷体_GB2312"/>
                <w:bCs/>
                <w:szCs w:val="28"/>
              </w:rPr>
              <w:t xml:space="preserve"> </w:t>
            </w:r>
            <w:r>
              <w:rPr>
                <w:rFonts w:eastAsia="楷体_GB2312"/>
                <w:b/>
                <w:bCs/>
                <w:szCs w:val="28"/>
              </w:rPr>
              <w:t>高标准农田建设项目。</w:t>
            </w:r>
            <w:r>
              <w:rPr>
                <w:szCs w:val="28"/>
              </w:rPr>
              <w:t>以粮食生产大镇（乡）为重点，围绕田、土、水、路、林、电、技、管 8 个方面，加大土地平整、土壤改良、灌溉排水、田间道路、农田防护与生态环境保持、农田输配电、科技服务、建后管护等建设力度。到2025年，建成高标准农田85万亩，实现旱涝保收、稳产高产。</w:t>
            </w:r>
          </w:p>
          <w:p w14:paraId="47F2CF59">
            <w:pPr>
              <w:ind w:firstLine="562"/>
              <w:rPr>
                <w:szCs w:val="28"/>
              </w:rPr>
            </w:pPr>
            <w:r>
              <w:rPr>
                <w:bCs/>
                <w:szCs w:val="28"/>
              </w:rPr>
              <w:t>2.</w:t>
            </w:r>
            <w:r>
              <w:rPr>
                <w:rFonts w:eastAsia="楷体_GB2312"/>
                <w:bCs/>
                <w:szCs w:val="28"/>
              </w:rPr>
              <w:t xml:space="preserve"> </w:t>
            </w:r>
            <w:r>
              <w:rPr>
                <w:rFonts w:eastAsia="楷体_GB2312"/>
                <w:b/>
                <w:bCs/>
                <w:szCs w:val="28"/>
              </w:rPr>
              <w:t>农业绿色发展项目。</w:t>
            </w:r>
            <w:r>
              <w:rPr>
                <w:szCs w:val="28"/>
              </w:rPr>
              <w:t>深入推进畜禽粪污资源化利用、增施有机肥、病虫绿色防控替代化学防治、农作物秸秆综合利用、废弃农膜回收等行动。到2025年，全区主要农作物化肥利用率达到43%，主要农作物秸秆综合利用率达到93%以上，畜禽粪污综合利用率达到93%，农膜回收率达到98%，形成一批可复制、可推广的农业绿色发展典型经验和模式。</w:t>
            </w:r>
          </w:p>
          <w:p w14:paraId="025C05EC">
            <w:pPr>
              <w:ind w:firstLine="562"/>
              <w:rPr>
                <w:szCs w:val="28"/>
              </w:rPr>
            </w:pPr>
            <w:r>
              <w:rPr>
                <w:bCs/>
                <w:szCs w:val="28"/>
              </w:rPr>
              <w:t>3.</w:t>
            </w:r>
            <w:r>
              <w:rPr>
                <w:rFonts w:eastAsia="楷体_GB2312"/>
                <w:bCs/>
                <w:szCs w:val="28"/>
              </w:rPr>
              <w:t xml:space="preserve"> </w:t>
            </w:r>
            <w:r>
              <w:rPr>
                <w:rFonts w:eastAsia="楷体_GB2312"/>
                <w:b/>
                <w:bCs/>
                <w:szCs w:val="28"/>
              </w:rPr>
              <w:t>优质粮食工程。</w:t>
            </w:r>
            <w:r>
              <w:rPr>
                <w:szCs w:val="28"/>
              </w:rPr>
              <w:t>坚持产、购、储、加、销“五优联动”，加强优质原粮基地建设，实施粮食绿色仓储提升、粮食品种品质品牌提升、粮食质量追溯提升、粮食机械装备提升、粮食应急保障能力提升、粮食节约减损健康消费提升等“六大行动”。到 2025 年，全区粮食播种面积稳定在120万亩左右，总产能站稳45万吨台阶，建设小麦单一品种规模化种植万亩示范片3个以上，建设优质专用水稻万亩示范片6个以上。</w:t>
            </w:r>
          </w:p>
          <w:p w14:paraId="41C1F261">
            <w:pPr>
              <w:ind w:firstLine="562"/>
              <w:rPr>
                <w:szCs w:val="28"/>
              </w:rPr>
            </w:pPr>
            <w:r>
              <w:rPr>
                <w:bCs/>
                <w:szCs w:val="28"/>
              </w:rPr>
              <w:t>4.</w:t>
            </w:r>
            <w:r>
              <w:rPr>
                <w:rFonts w:eastAsia="楷体_GB2312"/>
                <w:bCs/>
                <w:szCs w:val="28"/>
              </w:rPr>
              <w:t xml:space="preserve"> </w:t>
            </w:r>
            <w:r>
              <w:rPr>
                <w:rFonts w:eastAsia="楷体_GB2312"/>
                <w:b/>
                <w:bCs/>
                <w:szCs w:val="28"/>
              </w:rPr>
              <w:t>名优茶叶基地提升工程。</w:t>
            </w:r>
            <w:r>
              <w:rPr>
                <w:szCs w:val="28"/>
              </w:rPr>
              <w:t>以“六安茶谷”为载体，实施六安瓜片茶产业融合示范园等项目，重点发展“六安瓜片”等名优茶生产，推进茶产业绿色增长模式攻关示范，大力建设茶叶标准园，实施茶园“双替代”行动，推进绿色茶园、生态茶园建设。到2025年，茶园面积发展到20万亩，改造提升千亩连片生态茶园5个，建设国家级标准茶园1个，省级标准茶园2个。</w:t>
            </w:r>
          </w:p>
          <w:p w14:paraId="6709E0E4">
            <w:pPr>
              <w:ind w:firstLine="562"/>
              <w:rPr>
                <w:szCs w:val="28"/>
              </w:rPr>
            </w:pPr>
            <w:r>
              <w:rPr>
                <w:bCs/>
                <w:szCs w:val="28"/>
              </w:rPr>
              <w:t xml:space="preserve">5. </w:t>
            </w:r>
            <w:r>
              <w:rPr>
                <w:rFonts w:eastAsia="楷体_GB2312"/>
                <w:b/>
                <w:bCs/>
                <w:szCs w:val="28"/>
              </w:rPr>
              <w:t>优质蔬菜基地建设工程</w:t>
            </w:r>
            <w:r>
              <w:rPr>
                <w:rFonts w:eastAsia="楷体_GB2312"/>
                <w:szCs w:val="28"/>
              </w:rPr>
              <w:t>。</w:t>
            </w:r>
            <w:r>
              <w:rPr>
                <w:szCs w:val="28"/>
              </w:rPr>
              <w:t>以淠河经济带和近郊乡镇为重点，积极推进标准化蔬菜基地建设，大力发展绿色、有机蔬菜，支持发展设施蔬菜，做大做强顺河辣椒、新安毛豆等本地特色蔬菜，打造一批省市级现代蔬菜生产标准园和科技产业园。到2025年，全区蔬菜种植面积达到40万亩，设施蔬菜生产面积占比力争超过60%，新增市级以上现代蔬菜标准园10个，发展蔬菜科技产业园20个。</w:t>
            </w:r>
          </w:p>
          <w:p w14:paraId="10086B3A">
            <w:pPr>
              <w:ind w:firstLine="562"/>
              <w:rPr>
                <w:szCs w:val="28"/>
              </w:rPr>
            </w:pPr>
            <w:r>
              <w:rPr>
                <w:bCs/>
                <w:szCs w:val="28"/>
              </w:rPr>
              <w:t xml:space="preserve">6. </w:t>
            </w:r>
            <w:r>
              <w:rPr>
                <w:rFonts w:eastAsia="楷体_GB2312"/>
                <w:b/>
                <w:bCs/>
                <w:szCs w:val="28"/>
              </w:rPr>
              <w:t>精品水果基地建设工程。</w:t>
            </w:r>
            <w:r>
              <w:rPr>
                <w:szCs w:val="28"/>
              </w:rPr>
              <w:t>依托“江淮果岭”建设，大力发展桃、梨、葡萄、草莓、蓝莓、樱桃等水果，积极推进标准果园示范创建。到2025年，果园面积达到13万亩。</w:t>
            </w:r>
          </w:p>
          <w:p w14:paraId="053CE586">
            <w:pPr>
              <w:ind w:firstLine="562"/>
              <w:rPr>
                <w:szCs w:val="28"/>
              </w:rPr>
            </w:pPr>
            <w:r>
              <w:rPr>
                <w:bCs/>
                <w:szCs w:val="28"/>
              </w:rPr>
              <w:t xml:space="preserve">7. </w:t>
            </w:r>
            <w:r>
              <w:rPr>
                <w:rFonts w:eastAsia="楷体_GB2312"/>
                <w:b/>
                <w:bCs/>
                <w:szCs w:val="28"/>
              </w:rPr>
              <w:t>畜牧业提质增效工程。</w:t>
            </w:r>
            <w:r>
              <w:rPr>
                <w:szCs w:val="28"/>
              </w:rPr>
              <w:t>以做强白鹅，稳定生猪，做优奶牛、白山羊、土鸡、黑毛猪等特色养殖为重点，按照“规模养殖、集中屠宰、冷链运输、冰鲜上市”要求，实施华好阳光乳业奶制品加工、生猪产业链项目等重点项目，加快推进畜禽生产、屠宰、加工、销售产业化发展，到2025年，白鹅年饲养量达到400万只，生猪、奶牛、肉羊年饲养量分别达到100万头、1万头、18万只。</w:t>
            </w:r>
          </w:p>
          <w:p w14:paraId="649DD0D8">
            <w:pPr>
              <w:ind w:firstLine="562"/>
              <w:rPr>
                <w:szCs w:val="28"/>
              </w:rPr>
            </w:pPr>
            <w:r>
              <w:rPr>
                <w:bCs/>
                <w:szCs w:val="28"/>
              </w:rPr>
              <w:t xml:space="preserve">8. </w:t>
            </w:r>
            <w:r>
              <w:rPr>
                <w:rFonts w:eastAsia="楷体_GB2312"/>
                <w:b/>
                <w:bCs/>
                <w:szCs w:val="28"/>
              </w:rPr>
              <w:t>渔业转型升级工程</w:t>
            </w:r>
            <w:r>
              <w:rPr>
                <w:rFonts w:eastAsia="楷体_GB2312"/>
                <w:szCs w:val="28"/>
              </w:rPr>
              <w:t>。</w:t>
            </w:r>
            <w:r>
              <w:rPr>
                <w:szCs w:val="28"/>
              </w:rPr>
              <w:t>推进小龙虾产业持续健康发展，实施稻渔综合养殖百千万工程。积极发展泥鳅、黄鳝、黄颡鱼、生态甲鱼等特色有机鱼产业，在有条件的地方发展休闲渔业。加快茶谷有机鱼养殖区、淠河生态经济带水产示范区、特色优质渔业养殖区和城郊休闲渔业示范区建设。到2025年，稻渔综合种养面积达到15万亩，水产品产量达到3.5万吨。</w:t>
            </w:r>
          </w:p>
        </w:tc>
      </w:tr>
    </w:tbl>
    <w:p w14:paraId="0A60BD4B">
      <w:pPr>
        <w:pStyle w:val="13"/>
        <w:ind w:firstLine="626"/>
        <w:sectPr>
          <w:pgSz w:w="11906" w:h="16838"/>
          <w:pgMar w:top="1871" w:right="1588" w:bottom="1588" w:left="1588" w:header="1134" w:footer="907" w:gutter="0"/>
          <w:cols w:space="720" w:num="1"/>
          <w:docGrid w:type="linesAndChars" w:linePitch="442" w:charSpace="-1472"/>
        </w:sectPr>
      </w:pPr>
    </w:p>
    <w:p w14:paraId="392EF4CA">
      <w:pPr>
        <w:pStyle w:val="2"/>
        <w:spacing w:before="312" w:after="312" w:line="600" w:lineRule="exact"/>
        <w:jc w:val="center"/>
        <w:rPr>
          <w:rFonts w:ascii="Times New Roman" w:hAnsi="Times New Roman" w:eastAsia="方正小标宋简体"/>
          <w:b w:val="0"/>
          <w:sz w:val="36"/>
          <w:szCs w:val="36"/>
        </w:rPr>
      </w:pPr>
      <w:bookmarkStart w:id="169" w:name="_Toc28641"/>
      <w:bookmarkStart w:id="170" w:name="_Toc11204"/>
      <w:bookmarkStart w:id="171" w:name="_Toc21351"/>
      <w:bookmarkStart w:id="172" w:name="_Toc6136"/>
      <w:bookmarkStart w:id="173" w:name="_Toc24967"/>
      <w:bookmarkStart w:id="174" w:name="_Toc14858"/>
      <w:bookmarkStart w:id="175" w:name="_Toc17613"/>
      <w:bookmarkStart w:id="176" w:name="_Toc97033760"/>
      <w:r>
        <w:rPr>
          <w:rFonts w:ascii="Times New Roman" w:hAnsi="Times New Roman" w:eastAsia="方正小标宋简体"/>
          <w:b w:val="0"/>
          <w:sz w:val="36"/>
          <w:szCs w:val="36"/>
        </w:rPr>
        <w:t>五、突出创新驱动，推进科技</w:t>
      </w:r>
      <w:bookmarkEnd w:id="169"/>
      <w:bookmarkEnd w:id="170"/>
      <w:bookmarkEnd w:id="171"/>
      <w:bookmarkEnd w:id="172"/>
      <w:bookmarkEnd w:id="173"/>
      <w:r>
        <w:rPr>
          <w:rFonts w:ascii="Times New Roman" w:hAnsi="Times New Roman" w:eastAsia="方正小标宋简体"/>
          <w:b w:val="0"/>
          <w:sz w:val="36"/>
          <w:szCs w:val="36"/>
        </w:rPr>
        <w:t>强农和机械强农</w:t>
      </w:r>
      <w:bookmarkEnd w:id="174"/>
      <w:bookmarkEnd w:id="175"/>
      <w:bookmarkEnd w:id="176"/>
    </w:p>
    <w:p w14:paraId="1BE232FC">
      <w:pPr>
        <w:ind w:firstLine="640"/>
        <w:rPr>
          <w:szCs w:val="28"/>
        </w:rPr>
      </w:pPr>
      <w:r>
        <w:rPr>
          <w:szCs w:val="28"/>
        </w:rPr>
        <w:t>依托区内外农业科教资源，集中资源、集中力量、集中突破，加快推动品种培优、品质提升、品牌打造，大力发展数字农业，加强科技成果转移转化和推广应用，推进科技强农和机械强农，全面提升农业质量效益和竞争力。</w:t>
      </w:r>
    </w:p>
    <w:p w14:paraId="49433E6B">
      <w:pPr>
        <w:pStyle w:val="3"/>
        <w:spacing w:beforeLines="50" w:afterLines="50" w:line="240" w:lineRule="auto"/>
        <w:ind w:firstLine="641"/>
        <w:jc w:val="left"/>
        <w:rPr>
          <w:rFonts w:ascii="Times New Roman" w:hAnsi="Times New Roman"/>
          <w:b w:val="0"/>
          <w:sz w:val="30"/>
          <w:szCs w:val="30"/>
        </w:rPr>
      </w:pPr>
      <w:bookmarkStart w:id="177" w:name="_Toc27230"/>
      <w:bookmarkStart w:id="178" w:name="_Toc17572"/>
      <w:bookmarkStart w:id="179" w:name="_Toc3885"/>
      <w:bookmarkStart w:id="180" w:name="_Toc27987"/>
      <w:bookmarkStart w:id="181" w:name="_Toc97033761"/>
      <w:bookmarkStart w:id="182" w:name="_Toc28121"/>
      <w:bookmarkStart w:id="183" w:name="_Toc8951"/>
      <w:bookmarkStart w:id="184" w:name="_Toc31864"/>
      <w:r>
        <w:rPr>
          <w:rFonts w:ascii="Times New Roman" w:hAnsi="Times New Roman"/>
          <w:b w:val="0"/>
          <w:sz w:val="30"/>
          <w:szCs w:val="30"/>
        </w:rPr>
        <w:t>（一）</w:t>
      </w:r>
      <w:bookmarkEnd w:id="177"/>
      <w:r>
        <w:rPr>
          <w:rFonts w:ascii="Times New Roman" w:hAnsi="Times New Roman"/>
          <w:b w:val="0"/>
          <w:sz w:val="30"/>
          <w:szCs w:val="30"/>
        </w:rPr>
        <w:t>推动</w:t>
      </w:r>
      <w:bookmarkEnd w:id="178"/>
      <w:r>
        <w:rPr>
          <w:rFonts w:ascii="Times New Roman" w:hAnsi="Times New Roman"/>
          <w:b w:val="0"/>
          <w:sz w:val="30"/>
          <w:szCs w:val="30"/>
        </w:rPr>
        <w:t>现代种业发展</w:t>
      </w:r>
      <w:bookmarkEnd w:id="179"/>
      <w:bookmarkEnd w:id="180"/>
      <w:bookmarkEnd w:id="181"/>
      <w:bookmarkEnd w:id="182"/>
      <w:bookmarkEnd w:id="183"/>
      <w:bookmarkEnd w:id="184"/>
    </w:p>
    <w:p w14:paraId="07339FF8">
      <w:pPr>
        <w:ind w:firstLine="643"/>
        <w:rPr>
          <w:szCs w:val="28"/>
        </w:rPr>
      </w:pPr>
      <w:r>
        <w:rPr>
          <w:rFonts w:eastAsia="楷体_GB2312"/>
          <w:b/>
          <w:bCs/>
          <w:szCs w:val="28"/>
        </w:rPr>
        <w:t>加强</w:t>
      </w:r>
      <w:r>
        <w:rPr>
          <w:rFonts w:eastAsia="楷体_GB2312"/>
          <w:b/>
          <w:bCs/>
          <w:spacing w:val="4"/>
          <w:szCs w:val="28"/>
        </w:rPr>
        <w:t>种质资源保护与利用。</w:t>
      </w:r>
      <w:r>
        <w:rPr>
          <w:spacing w:val="4"/>
          <w:szCs w:val="28"/>
        </w:rPr>
        <w:t>加强皖西白鹅、安徽白山羊、霍寿黑猪等优良地方畜禽遗传资源保护，建设一批地方畜禽遗传资源原种场、保护场。开展六安瓜片、新华红桃、顺河辣椒、新安毛豆等裕安地方特色作物种质资源普查收集、引进、保护、鉴定及利用工作，提纯复壮地方特色品种、选育高产优质新品种。支持科研院所、种业企业开展生物育种技术研究，在裕安区建立种质资源保护与开发基地，培育一批具有重大应用前景和自主知识产权的优良新品种。健全种质资源保护体系，做好地方特色品种的原种地登记与保护工作，加强种质资源的鉴定评价与优异资源挖掘利用。实施生物多样性保护工程，加强野生动植物资源保护，提升野生动物救护繁育能力，拯救极小种群野生动植物，完成省级</w:t>
      </w:r>
      <w:r>
        <w:rPr>
          <w:szCs w:val="28"/>
        </w:rPr>
        <w:t>自然保护区资源本底普查。“十四五”期间，建设2－3个农业种质资源保护场（区、库、圃）。</w:t>
      </w:r>
    </w:p>
    <w:p w14:paraId="7F4EF414">
      <w:pPr>
        <w:ind w:firstLine="643"/>
        <w:rPr>
          <w:szCs w:val="28"/>
        </w:rPr>
      </w:pPr>
      <w:r>
        <w:rPr>
          <w:rFonts w:eastAsia="楷体_GB2312"/>
          <w:b/>
          <w:bCs/>
          <w:szCs w:val="28"/>
        </w:rPr>
        <w:t>加快良种繁育推广。</w:t>
      </w:r>
      <w:r>
        <w:rPr>
          <w:szCs w:val="28"/>
        </w:rPr>
        <w:t>加强农作物良种繁育基地建设，布局建设一批六安瓜片茶树良种繁育基地、蔬菜良种繁育基地、果树种苗繁育基地、道地中药材提纯复壮基地，完善现代化种子加工、仓储和种苗快繁设施，发展一批农作物新品种跟踪评价和展示示范基地。健全畜禽良种繁育体系，以皖西白鹅、安徽白山羊、霍寿黑猪等为重点，以市场主体为依托，建立一批市、区级重点畜禽良种繁育场，争创一批省级畜禽核心育种场。大力推进水产原、良种场“育繁推一体化”发展，强化品种引进、评价鉴定、良种繁育等功能，推进黄颡鱼种质资源保护场建设，争创国家级良种场。到2025年，全区主要农作物品种实现一次更新换代，良种覆盖率实现100%。</w:t>
      </w:r>
    </w:p>
    <w:p w14:paraId="33A97045">
      <w:pPr>
        <w:pStyle w:val="3"/>
        <w:spacing w:before="0" w:afterLines="50" w:line="240" w:lineRule="auto"/>
        <w:ind w:firstLine="641"/>
        <w:jc w:val="left"/>
        <w:rPr>
          <w:rFonts w:ascii="Times New Roman" w:hAnsi="Times New Roman"/>
          <w:b w:val="0"/>
          <w:sz w:val="30"/>
          <w:szCs w:val="30"/>
        </w:rPr>
      </w:pPr>
      <w:bookmarkStart w:id="185" w:name="_Toc97033762"/>
      <w:bookmarkStart w:id="186" w:name="_Toc16973"/>
      <w:bookmarkStart w:id="187" w:name="_Toc17488"/>
      <w:r>
        <w:rPr>
          <w:rFonts w:ascii="Times New Roman" w:hAnsi="Times New Roman"/>
          <w:b w:val="0"/>
          <w:sz w:val="30"/>
          <w:szCs w:val="30"/>
        </w:rPr>
        <w:t>（二）大力推进机械强农</w:t>
      </w:r>
      <w:bookmarkEnd w:id="185"/>
      <w:bookmarkEnd w:id="186"/>
      <w:bookmarkEnd w:id="187"/>
    </w:p>
    <w:p w14:paraId="4EAD8DE0">
      <w:pPr>
        <w:ind w:firstLine="643"/>
        <w:rPr>
          <w:szCs w:val="28"/>
        </w:rPr>
      </w:pPr>
      <w:r>
        <w:rPr>
          <w:rFonts w:eastAsia="楷体_GB2312"/>
          <w:b/>
          <w:bCs/>
          <w:szCs w:val="28"/>
        </w:rPr>
        <w:t>加强薄弱环节农机装备研发。</w:t>
      </w:r>
      <w:r>
        <w:rPr>
          <w:szCs w:val="28"/>
        </w:rPr>
        <w:t>加大农业重要装备自主研制力度，开展粮棉油大宗农作物、特色经济作物、畜禽水产养殖等领域农业机械装备研发攻关。开展水稻机械化栽植、小麦玉米轮作精量机播，加大粮食生产的植保、烘干等高性能机械研发，加快节水灌溉、秸秆综合利用、畜禽粪污资源化利用、环保烘干等绿色高效机械装备和技术集成配套，加快补齐农机关键共性技术、核心零部件和重要装备等短板。支持大马力、高性能和绿色环保、复式新装备研发、示范推广，加强设施农业、果蔬茶、中药材、畜牧业、渔业等产业技术装备示范应用，推进丘陵山区轻简型农机装备和高适应性专用机械研发。</w:t>
      </w:r>
    </w:p>
    <w:p w14:paraId="1D514982">
      <w:pPr>
        <w:ind w:firstLine="640"/>
        <w:rPr>
          <w:szCs w:val="28"/>
        </w:rPr>
      </w:pPr>
      <w:r>
        <w:rPr>
          <w:szCs w:val="28"/>
        </w:rPr>
        <w:t>加快重点环节“机器换人”。实施主要农作物生产全程机械化推进行动，提升水稻、小麦机械化种植和水果、茶叶机械化采收水平，加快灌排、植保、秸秆处理、烘干等环节装备和技术应用。加快果菜茶、现代种业、畜禽水产、设施农业和农产品初加工等产业的农机装备和技术应用。支持丘陵山区开展“宜机化”改造。加强绿色高效新机具示范推广，支持秸秆还离田、病死畜禽无害化处理、畜禽粪污资源化利用等农机推广应用。加强智慧农机装备建设，引导企业推广农用无人机、农业机器人、农机作业监测设备等。</w:t>
      </w:r>
    </w:p>
    <w:p w14:paraId="013A2740">
      <w:pPr>
        <w:pStyle w:val="3"/>
        <w:spacing w:beforeLines="50" w:afterLines="50" w:line="240" w:lineRule="auto"/>
        <w:ind w:firstLine="641"/>
        <w:jc w:val="left"/>
        <w:rPr>
          <w:rFonts w:ascii="Times New Roman" w:hAnsi="Times New Roman"/>
          <w:b w:val="0"/>
          <w:sz w:val="30"/>
          <w:szCs w:val="30"/>
        </w:rPr>
      </w:pPr>
      <w:bookmarkStart w:id="188" w:name="_Toc21359"/>
      <w:bookmarkStart w:id="189" w:name="_Toc22839"/>
      <w:bookmarkStart w:id="190" w:name="_Toc26768"/>
      <w:bookmarkStart w:id="191" w:name="_Toc97033763"/>
      <w:bookmarkStart w:id="192" w:name="_Toc17323"/>
      <w:bookmarkStart w:id="193" w:name="_Toc19058"/>
      <w:bookmarkStart w:id="194" w:name="_Toc31257"/>
      <w:bookmarkStart w:id="195" w:name="_Toc28761"/>
      <w:r>
        <w:rPr>
          <w:rFonts w:ascii="Times New Roman" w:hAnsi="Times New Roman"/>
          <w:b w:val="0"/>
          <w:sz w:val="30"/>
          <w:szCs w:val="30"/>
        </w:rPr>
        <w:t>（三）推进数字农业建设</w:t>
      </w:r>
      <w:bookmarkEnd w:id="188"/>
      <w:bookmarkEnd w:id="189"/>
      <w:bookmarkEnd w:id="190"/>
      <w:bookmarkEnd w:id="191"/>
      <w:bookmarkEnd w:id="192"/>
      <w:bookmarkEnd w:id="193"/>
      <w:bookmarkEnd w:id="194"/>
      <w:bookmarkEnd w:id="195"/>
    </w:p>
    <w:p w14:paraId="0CFAD121">
      <w:pPr>
        <w:ind w:firstLine="643"/>
        <w:rPr>
          <w:szCs w:val="28"/>
        </w:rPr>
      </w:pPr>
      <w:r>
        <w:rPr>
          <w:rFonts w:eastAsia="楷体_GB2312"/>
          <w:b/>
          <w:bCs/>
          <w:szCs w:val="28"/>
        </w:rPr>
        <w:t>推进生产数字化构建。</w:t>
      </w:r>
      <w:r>
        <w:rPr>
          <w:szCs w:val="28"/>
        </w:rPr>
        <w:t>支持新型农业经营主体开展数字化应用,推进种植业、畜牧业、渔业、农产品加工业等生产过程数字化转型升级,加快北斗卫星导航系统和遥感技术在农机作业中的推广应用，加强环境智能监控、水肥药精准施用、重大病虫害智能监测识别、饲料精准饲喂、农产品加工全程智能化控制。支持农业园区、粮食万亩示范片、蔬菜水果标准园、畜禽养殖标准化示范场、水产健康养殖示范场及长三角绿色农产品生产加工供应基地数字化改造。支持农作物制种基地、种畜禽场区、水产苗种场区及种质资源保护数字化应用。推动农业生产过程气象条件智能监控，实现重大农业气象灾害智能识别。到2025年，建设数字农业示范基地2-3个，全区农业生产信息化平均应用率达到30%以上。</w:t>
      </w:r>
    </w:p>
    <w:p w14:paraId="6CCC2EFF">
      <w:pPr>
        <w:pStyle w:val="13"/>
        <w:spacing w:line="240" w:lineRule="auto"/>
        <w:ind w:firstLine="548"/>
        <w:rPr>
          <w:sz w:val="28"/>
          <w:szCs w:val="28"/>
        </w:rPr>
      </w:pPr>
      <w:r>
        <w:rPr>
          <w:rFonts w:eastAsia="楷体_GB2312"/>
          <w:b/>
          <w:bCs/>
          <w:sz w:val="28"/>
          <w:szCs w:val="28"/>
        </w:rPr>
        <w:t>推进农业经营数字化。</w:t>
      </w:r>
      <w:r>
        <w:rPr>
          <w:sz w:val="28"/>
          <w:szCs w:val="28"/>
        </w:rPr>
        <w:t>加快农业主导产业全产业链大数据云平台等大数据系统研究及开发，推动优势特色主导产业率先开展农业产业互联网建设。推进数字赋能农产品品牌培育，推动绿色食品、有机农产品全部实现带码销售。举办裕安好网货大赛、直播带货大赛等农产品网销活动，推进六安瓜片开茶节、泉水龙虾美食节、农民丰收节等特色农业节庆活动办展模式创新，打造永不落幕的云端会展。鼓励发展基于互联网的众筹农业、定制农业等业态，推广共享农业、云农场、短视频、直播、“5G+AR”认养等网络经营模式。鼓励有实力的电商企业建设直采农场、农产品产地仓，发展生鲜电商等新零售业态。引导乡村旅游示范村镇等开展数字经营，发展智慧观光农业、线上体验农业。</w:t>
      </w:r>
    </w:p>
    <w:p w14:paraId="1CEED592">
      <w:pPr>
        <w:pStyle w:val="13"/>
        <w:spacing w:line="240" w:lineRule="auto"/>
        <w:ind w:firstLine="548"/>
        <w:rPr>
          <w:sz w:val="28"/>
          <w:szCs w:val="28"/>
        </w:rPr>
      </w:pPr>
      <w:r>
        <w:rPr>
          <w:rFonts w:eastAsia="楷体_GB2312"/>
          <w:b/>
          <w:bCs/>
          <w:sz w:val="28"/>
          <w:szCs w:val="28"/>
        </w:rPr>
        <w:t>推进管理数字化升级。</w:t>
      </w:r>
      <w:r>
        <w:rPr>
          <w:sz w:val="28"/>
          <w:szCs w:val="28"/>
        </w:rPr>
        <w:t>建立健全裕安区农业农村大数据平台，完善服务功能，强化数据对接，推进农业农村数据资源全面、高效和集约管理。加强粮食功能区、重要农产品保护区、高标准农田、农村承包地和宅基地数字化监管，实现地理信息上图入库。推进农村人居环境整治、农业废弃物综合利用、农业</w:t>
      </w:r>
      <w:r>
        <w:rPr>
          <w:spacing w:val="-4"/>
          <w:sz w:val="28"/>
          <w:szCs w:val="28"/>
        </w:rPr>
        <w:t>投入品追溯监管数字化，减少农业面源污染，全面提升美丽乡村建设水平。加强农业安全生产数字化监管，重点开展农机、渔船、农业应急管理的数字化改造,实现安全生产和灾害应急过程实时监控和管理。</w:t>
      </w:r>
    </w:p>
    <w:p w14:paraId="301962DD">
      <w:pPr>
        <w:pStyle w:val="3"/>
        <w:spacing w:beforeLines="50" w:afterLines="50" w:line="240" w:lineRule="auto"/>
        <w:ind w:firstLine="641"/>
        <w:jc w:val="left"/>
        <w:rPr>
          <w:rFonts w:ascii="Times New Roman" w:hAnsi="Times New Roman"/>
          <w:b w:val="0"/>
          <w:sz w:val="30"/>
          <w:szCs w:val="30"/>
        </w:rPr>
      </w:pPr>
      <w:bookmarkStart w:id="196" w:name="_Toc14342"/>
      <w:bookmarkStart w:id="197" w:name="_Toc97033764"/>
      <w:bookmarkStart w:id="198" w:name="_Toc16169"/>
      <w:bookmarkStart w:id="199" w:name="_Toc4332"/>
      <w:bookmarkStart w:id="200" w:name="_Toc3759"/>
      <w:bookmarkStart w:id="201" w:name="_Toc1302"/>
      <w:bookmarkStart w:id="202" w:name="_Toc13911"/>
      <w:bookmarkStart w:id="203" w:name="_Toc1902"/>
      <w:r>
        <w:rPr>
          <w:rFonts w:ascii="Times New Roman" w:hAnsi="Times New Roman"/>
          <w:b w:val="0"/>
          <w:sz w:val="30"/>
          <w:szCs w:val="30"/>
        </w:rPr>
        <w:t>（四）强化农业科技创新</w:t>
      </w:r>
      <w:bookmarkEnd w:id="196"/>
      <w:bookmarkEnd w:id="197"/>
      <w:bookmarkEnd w:id="198"/>
      <w:bookmarkEnd w:id="199"/>
      <w:bookmarkEnd w:id="200"/>
      <w:bookmarkEnd w:id="201"/>
      <w:bookmarkEnd w:id="202"/>
      <w:bookmarkEnd w:id="203"/>
    </w:p>
    <w:p w14:paraId="61C27337">
      <w:pPr>
        <w:ind w:firstLine="643"/>
        <w:rPr>
          <w:szCs w:val="28"/>
        </w:rPr>
      </w:pPr>
      <w:r>
        <w:rPr>
          <w:rFonts w:eastAsia="楷体_GB2312"/>
          <w:b/>
          <w:bCs/>
          <w:szCs w:val="28"/>
        </w:rPr>
        <w:t>提升自主创新能力。</w:t>
      </w:r>
      <w:r>
        <w:rPr>
          <w:szCs w:val="28"/>
        </w:rPr>
        <w:t>深化农业科技体制改革，建立差别化评价制度，落实兼职兼薪、成果权益分配政策。强化企业在技术创新中的主体地位，促进各类创新要素向企业集聚。发挥大企业引领支撑作用，支持裕外企业在裕安区建立重点实验室和技术创新中心，牵头组建创新联合体。实施一批乡村振兴科技专项，集聚创新资源、整合创新要素，加强与农业高校、科研院所、省现代农业产业技术体系的深度合作，通过联合攻关，突破农业农村发展科技瓶颈。强化技术集成创新和应用创新，开展绿色优质增产模式攻关和整建制绿色高产高效创建。</w:t>
      </w:r>
    </w:p>
    <w:p w14:paraId="1F82B336">
      <w:pPr>
        <w:ind w:firstLine="643"/>
        <w:rPr>
          <w:szCs w:val="28"/>
        </w:rPr>
      </w:pPr>
      <w:r>
        <w:rPr>
          <w:rFonts w:eastAsia="楷体_GB2312"/>
          <w:b/>
          <w:bCs/>
          <w:szCs w:val="28"/>
        </w:rPr>
        <w:t>提升科技成果转化应用水平。</w:t>
      </w:r>
      <w:r>
        <w:rPr>
          <w:szCs w:val="28"/>
        </w:rPr>
        <w:t>建立健全以基层农技推广机构为主导，高校科研院所为支撑，社会力量广泛参与的新型农技推广体系。健全农业科技成果使用、处置和收益管理制度，深化基层农技推广体系改革，完善科技推广人员绩效考核和激励机制，引导科技人员与新型经营主体和服务主体对接合作，开展成果转化、技术指导、人才培养等多层次合作，着力提高科技成果转化与应用推广能力。</w:t>
      </w:r>
    </w:p>
    <w:tbl>
      <w:tblPr>
        <w:tblStyle w:val="20"/>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5C5F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8857" w:type="dxa"/>
            <w:vAlign w:val="center"/>
          </w:tcPr>
          <w:p w14:paraId="2B8F4237">
            <w:pPr>
              <w:pStyle w:val="3"/>
              <w:spacing w:before="0" w:after="0" w:line="240" w:lineRule="auto"/>
              <w:jc w:val="center"/>
              <w:rPr>
                <w:rFonts w:ascii="Times New Roman" w:hAnsi="Times New Roman" w:eastAsia="楷体_GB2312"/>
                <w:b w:val="0"/>
                <w:szCs w:val="28"/>
              </w:rPr>
            </w:pPr>
            <w:bookmarkStart w:id="204" w:name="_Toc1200"/>
            <w:bookmarkStart w:id="205" w:name="_Toc27716"/>
            <w:bookmarkStart w:id="206" w:name="_Toc97033765"/>
            <w:bookmarkStart w:id="207" w:name="_Toc5193"/>
            <w:bookmarkStart w:id="208" w:name="_Toc25188"/>
            <w:r>
              <w:rPr>
                <w:rFonts w:ascii="Times New Roman" w:hAnsi="Times New Roman"/>
                <w:b w:val="0"/>
                <w:sz w:val="28"/>
                <w:szCs w:val="28"/>
              </w:rPr>
              <w:t>专栏3 农业创新驱动行动</w:t>
            </w:r>
            <w:bookmarkEnd w:id="204"/>
            <w:bookmarkEnd w:id="205"/>
            <w:bookmarkEnd w:id="206"/>
            <w:bookmarkEnd w:id="207"/>
            <w:bookmarkEnd w:id="208"/>
          </w:p>
        </w:tc>
      </w:tr>
      <w:tr w14:paraId="1D8A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57" w:type="dxa"/>
          </w:tcPr>
          <w:p w14:paraId="161CB8CD">
            <w:pPr>
              <w:ind w:firstLine="562"/>
              <w:rPr>
                <w:szCs w:val="28"/>
              </w:rPr>
            </w:pPr>
            <w:r>
              <w:rPr>
                <w:bCs/>
                <w:szCs w:val="28"/>
              </w:rPr>
              <w:t xml:space="preserve">1. </w:t>
            </w:r>
            <w:r>
              <w:rPr>
                <w:rFonts w:eastAsia="楷体_GB2312"/>
                <w:b/>
                <w:bCs/>
                <w:szCs w:val="28"/>
              </w:rPr>
              <w:t>现代种业发展项目。</w:t>
            </w:r>
            <w:r>
              <w:rPr>
                <w:szCs w:val="28"/>
              </w:rPr>
              <w:t>以品牌粮食、特色畜禽、名优茶叶、优质蔬菜、精品水果、高品质水产等优势特色主导产业为重点，加强地方特色品种种质资源保护与开发利用，支持开展新品种引进、选育、研发与推广工作。到2025年，引进选育农业新品种、畜禽良种3-5个，建设农业种质资源保护场2－3个，力争1-2家特色种业企业进入全省特色种业前10强，主要农作物良种覆盖率保持100%。</w:t>
            </w:r>
          </w:p>
          <w:p w14:paraId="0571E07E">
            <w:pPr>
              <w:ind w:firstLine="562"/>
              <w:rPr>
                <w:szCs w:val="28"/>
              </w:rPr>
            </w:pPr>
            <w:r>
              <w:rPr>
                <w:bCs/>
                <w:szCs w:val="28"/>
              </w:rPr>
              <w:t xml:space="preserve">2. </w:t>
            </w:r>
            <w:r>
              <w:rPr>
                <w:rFonts w:eastAsia="楷体_GB2312"/>
                <w:b/>
                <w:bCs/>
                <w:szCs w:val="28"/>
              </w:rPr>
              <w:t>机械强农推进项目。</w:t>
            </w:r>
            <w:r>
              <w:rPr>
                <w:szCs w:val="28"/>
              </w:rPr>
              <w:t>聚焦耕整地、播种、植保、收获、烘干、秸秆处理等农业机械化重点环节，推广先进适用农机化技术及装备、探索全程机械化生产模式、改善农机化基础设施，加强丘陵山区宜机化改造，培育壮大农机服务市场主体。到2025年，全区主要农作物耕种收综合机械化率达到90%。</w:t>
            </w:r>
          </w:p>
          <w:p w14:paraId="6CCB16B3">
            <w:pPr>
              <w:ind w:firstLine="562"/>
              <w:rPr>
                <w:szCs w:val="28"/>
              </w:rPr>
            </w:pPr>
            <w:r>
              <w:rPr>
                <w:bCs/>
                <w:szCs w:val="28"/>
              </w:rPr>
              <w:t xml:space="preserve">3. </w:t>
            </w:r>
            <w:r>
              <w:rPr>
                <w:rFonts w:eastAsia="楷体_GB2312"/>
                <w:b/>
                <w:bCs/>
                <w:szCs w:val="28"/>
              </w:rPr>
              <w:t>数字农业建设项目。</w:t>
            </w:r>
            <w:r>
              <w:rPr>
                <w:szCs w:val="28"/>
              </w:rPr>
              <w:t>实施“互联网+”现代农业行动，推广应用农业物联网、大数据、云计算等“互联网+”技术和网络化、智能化、精准化的现代农业发展新模式，争取实施一批省级以上农业物联网示范建设项目。积极对接省级数据云平台，实现信息资源共享交换，提高农业生产监测统计和预警分析水平。力争到2025年，申报创建数字乡村示范乡镇2个，培育数字农业示范基地2-3个。</w:t>
            </w:r>
          </w:p>
          <w:p w14:paraId="446F82A4">
            <w:pPr>
              <w:ind w:firstLine="562"/>
              <w:rPr>
                <w:szCs w:val="28"/>
              </w:rPr>
            </w:pPr>
            <w:r>
              <w:rPr>
                <w:bCs/>
                <w:szCs w:val="28"/>
              </w:rPr>
              <w:t>4.</w:t>
            </w:r>
            <w:r>
              <w:rPr>
                <w:rFonts w:eastAsia="楷体_GB2312"/>
                <w:bCs/>
                <w:szCs w:val="28"/>
              </w:rPr>
              <w:t xml:space="preserve"> </w:t>
            </w:r>
            <w:r>
              <w:rPr>
                <w:rFonts w:eastAsia="楷体_GB2312"/>
                <w:b/>
                <w:bCs/>
                <w:szCs w:val="28"/>
              </w:rPr>
              <w:t>农业创</w:t>
            </w:r>
            <w:r>
              <w:rPr>
                <w:rFonts w:eastAsia="楷体_GB2312"/>
                <w:b/>
                <w:bCs/>
                <w:spacing w:val="-4"/>
                <w:szCs w:val="28"/>
              </w:rPr>
              <w:t>新平台建设项目。</w:t>
            </w:r>
            <w:r>
              <w:rPr>
                <w:spacing w:val="-4"/>
                <w:szCs w:val="28"/>
              </w:rPr>
              <w:t>聚焦特色优势农业全产业链发展、长三角绿色农产品生产加工供应</w:t>
            </w:r>
            <w:r>
              <w:rPr>
                <w:szCs w:val="28"/>
              </w:rPr>
              <w:t>基地建设</w:t>
            </w:r>
            <w:r>
              <w:rPr>
                <w:spacing w:val="-4"/>
                <w:szCs w:val="28"/>
              </w:rPr>
              <w:t>、现代种业等重点领域，加强与省内外农业高校和科研院所的产学研紧密合作，开展精准招才引智。到2025年，新增博士工作站、企业研发中心、农业综合试验站等产学研合作基地3个以上。</w:t>
            </w:r>
          </w:p>
          <w:p w14:paraId="3A79863A">
            <w:pPr>
              <w:ind w:firstLine="562"/>
              <w:rPr>
                <w:szCs w:val="28"/>
              </w:rPr>
            </w:pPr>
            <w:r>
              <w:rPr>
                <w:bCs/>
                <w:szCs w:val="28"/>
              </w:rPr>
              <w:t xml:space="preserve">5. </w:t>
            </w:r>
            <w:r>
              <w:rPr>
                <w:rFonts w:eastAsia="楷体_GB2312"/>
                <w:b/>
                <w:bCs/>
                <w:szCs w:val="28"/>
              </w:rPr>
              <w:t>基层农技推广体系建设。</w:t>
            </w:r>
            <w:r>
              <w:rPr>
                <w:szCs w:val="28"/>
              </w:rPr>
              <w:t>实施基层农技推广体系改革和建设项目，壮大科技特派员和特聘农技员队伍，建设5个农业科技示范基地，争创省级现代农业科技示范展示基地，加快培育农业科技服务公司。</w:t>
            </w:r>
          </w:p>
        </w:tc>
      </w:tr>
    </w:tbl>
    <w:p w14:paraId="70A3265E">
      <w:pPr>
        <w:ind w:firstLine="640"/>
      </w:pPr>
    </w:p>
    <w:p w14:paraId="66C68A62">
      <w:pPr>
        <w:pStyle w:val="2"/>
        <w:spacing w:before="312" w:after="312" w:line="600" w:lineRule="exact"/>
        <w:jc w:val="center"/>
        <w:rPr>
          <w:rFonts w:ascii="Times New Roman" w:hAnsi="Times New Roman"/>
        </w:rPr>
        <w:sectPr>
          <w:pgSz w:w="11906" w:h="16838"/>
          <w:pgMar w:top="1871" w:right="1588" w:bottom="1588" w:left="1588" w:header="1134" w:footer="907" w:gutter="0"/>
          <w:cols w:space="720" w:num="1"/>
          <w:docGrid w:type="linesAndChars" w:linePitch="445" w:charSpace="-1472"/>
        </w:sectPr>
      </w:pPr>
      <w:bookmarkStart w:id="209" w:name="_Toc30111"/>
    </w:p>
    <w:p w14:paraId="6B15BC49">
      <w:pPr>
        <w:pStyle w:val="2"/>
        <w:spacing w:before="312" w:after="312" w:line="600" w:lineRule="exact"/>
        <w:jc w:val="center"/>
        <w:rPr>
          <w:rFonts w:ascii="Times New Roman" w:hAnsi="Times New Roman" w:eastAsia="方正小标宋简体"/>
          <w:b w:val="0"/>
          <w:sz w:val="36"/>
          <w:szCs w:val="36"/>
        </w:rPr>
      </w:pPr>
      <w:bookmarkStart w:id="210" w:name="_Toc4821"/>
      <w:bookmarkStart w:id="211" w:name="_Toc97033766"/>
      <w:bookmarkStart w:id="212" w:name="_Toc18902"/>
      <w:bookmarkStart w:id="213" w:name="_Toc24978"/>
      <w:bookmarkStart w:id="214" w:name="_Toc1170"/>
      <w:r>
        <w:rPr>
          <w:rFonts w:ascii="Times New Roman" w:hAnsi="Times New Roman" w:eastAsia="方正小标宋简体"/>
          <w:b w:val="0"/>
          <w:sz w:val="36"/>
          <w:szCs w:val="36"/>
        </w:rPr>
        <w:t>六、聚力融合促动，完善现代乡村产业体系</w:t>
      </w:r>
      <w:bookmarkEnd w:id="209"/>
      <w:bookmarkEnd w:id="210"/>
      <w:bookmarkEnd w:id="211"/>
      <w:bookmarkEnd w:id="212"/>
      <w:bookmarkEnd w:id="213"/>
      <w:bookmarkEnd w:id="214"/>
    </w:p>
    <w:p w14:paraId="3BFFE267">
      <w:pPr>
        <w:ind w:firstLine="640"/>
        <w:rPr>
          <w:kern w:val="0"/>
          <w:szCs w:val="28"/>
        </w:rPr>
      </w:pPr>
      <w:r>
        <w:rPr>
          <w:kern w:val="0"/>
          <w:szCs w:val="28"/>
        </w:rPr>
        <w:t>实施乡村产业振兴计划，做强农产品加工业，提升农产品流通业，优化乡村休闲旅游业，做精乡土特色产业，培育乡村新型服务业，推进农业园区化融合化，加快农业全产业链开发。</w:t>
      </w:r>
    </w:p>
    <w:p w14:paraId="5E8170B0">
      <w:pPr>
        <w:pStyle w:val="3"/>
        <w:spacing w:beforeLines="50" w:afterLines="50" w:line="240" w:lineRule="auto"/>
        <w:ind w:firstLine="641"/>
        <w:jc w:val="left"/>
        <w:rPr>
          <w:rFonts w:ascii="Times New Roman" w:hAnsi="Times New Roman"/>
          <w:b w:val="0"/>
          <w:sz w:val="30"/>
          <w:szCs w:val="30"/>
        </w:rPr>
      </w:pPr>
      <w:bookmarkStart w:id="215" w:name="_Toc97033767"/>
      <w:bookmarkStart w:id="216" w:name="_Toc23952"/>
      <w:bookmarkStart w:id="217" w:name="_Toc24452"/>
      <w:bookmarkStart w:id="218" w:name="_Toc15323"/>
      <w:bookmarkStart w:id="219" w:name="_Toc13718"/>
      <w:bookmarkStart w:id="220" w:name="_Toc27542"/>
      <w:r>
        <w:rPr>
          <w:rFonts w:ascii="Times New Roman" w:hAnsi="Times New Roman"/>
          <w:b w:val="0"/>
          <w:sz w:val="30"/>
          <w:szCs w:val="30"/>
        </w:rPr>
        <w:t>（一）推进农业园区化融合化</w:t>
      </w:r>
      <w:bookmarkEnd w:id="215"/>
      <w:bookmarkEnd w:id="216"/>
      <w:bookmarkEnd w:id="217"/>
      <w:bookmarkEnd w:id="218"/>
      <w:bookmarkEnd w:id="219"/>
      <w:bookmarkEnd w:id="220"/>
    </w:p>
    <w:p w14:paraId="1C16CDF0">
      <w:pPr>
        <w:ind w:firstLine="643"/>
        <w:rPr>
          <w:szCs w:val="28"/>
        </w:rPr>
      </w:pPr>
      <w:r>
        <w:rPr>
          <w:rFonts w:eastAsia="楷体_GB2312"/>
          <w:b/>
          <w:bCs/>
          <w:szCs w:val="28"/>
        </w:rPr>
        <w:t>加快培育乡村产业园区。</w:t>
      </w:r>
      <w:r>
        <w:rPr>
          <w:szCs w:val="28"/>
        </w:rPr>
        <w:t>引导龙头企业重心下沉建设加工原料专用基地，支持家庭农场、合作社以及村集体经济组织创建“第一车间”“乡村工厂”，加快培育“小精特美”的“一村一品”示范村镇，实现农产品就地就近加工转化增值。依托镇域特色优势主导产业，推进独山茶谷小镇、苏埠绳网小镇、狮子岗桃花小镇、顺河绿色乳品小镇、固镇皖西白鹅小镇等农业特色小镇、产业强镇建设，加快全产业链、全价值链建设，示范引领产镇融合发展。加快裕安现代农业产业园建设，以固镇和罗集18个行政村为重点区域，以皖西白鹅和优质水稻为主导产业，加快建设固镇绿色食品加工产业园和罗集粮食加工园，积极创建国家级现代农业产业园，推进园区科技集成、主体集中、产业集聚。推进独山六安瓜片加工园、青山油茶加工园、徐集中药材加工园、顺河乳制品加工园等绿色食品加工园区建设，推进企业入园集聚发展。加强优势特色农业产业集群培育，推进延链、补链、强链，提升品牌粮食、特色畜禽、名优茶叶、优质蔬菜、精品水果、高品质水产等优势特色产业集聚水平。</w:t>
      </w:r>
    </w:p>
    <w:p w14:paraId="52FC5C53">
      <w:pPr>
        <w:ind w:firstLine="643"/>
        <w:rPr>
          <w:szCs w:val="28"/>
        </w:rPr>
      </w:pPr>
      <w:r>
        <w:rPr>
          <w:rFonts w:eastAsia="楷体_GB2312"/>
          <w:b/>
          <w:bCs/>
          <w:kern w:val="0"/>
          <w:szCs w:val="28"/>
        </w:rPr>
        <w:t>推动农产品加工业跨越发展。</w:t>
      </w:r>
      <w:r>
        <w:rPr>
          <w:kern w:val="0"/>
          <w:szCs w:val="28"/>
        </w:rPr>
        <w:t>以农产品加工业“五个一批”工程为引领，以农产品初加工、精深加工和综合利用加工“三加叠进”为路径，系统推进粮食、茶叶、畜禽、蔬菜、水果、水产等农产品加工业规划布局</w:t>
      </w:r>
      <w:r>
        <w:rPr>
          <w:szCs w:val="28"/>
        </w:rPr>
        <w:t>，统筹农产品多元化开发、多层次利用、多环节增值。鼓励和支持农民合作社、家庭农场和中小微企业等发展农产品产地初加工，减少产后损失，延长供应时间，提高质量效益。以“粮头食尾，农头工尾”为抓手，大力发展农产品精深加工，在江家店、分路口、丁集、罗集等粮食主产乡镇，重点发展专用粉、生态大米、中央厨房食品加工；在北部循环农业发展区，依托畜禽水产产业基础，大力推进肉食品、休闲食品加工；在独山、石婆店、西河口等六安瓜片原产地，重点加强茶叶深度开发，发展高端茶叶、茶叶饮料；以狮子岗乡为重点，积极发展果汁、果酱、果酒等水果精深加工；推进“汉妆美谷”建设，积极开发美妆、饮片、颗粒等中药材精深加工产品，打造康养美丽经济。推进副产物综合利用加工，挖掘农产品转化增值潜能，做大做强固镇皖西白鹅羽绒羽毛加工，大力发展农业废弃物生物质利用加工，开发新肥料、新材料、新产品。</w:t>
      </w:r>
    </w:p>
    <w:p w14:paraId="5BA7C1CF">
      <w:pPr>
        <w:ind w:firstLine="643"/>
        <w:rPr>
          <w:szCs w:val="28"/>
        </w:rPr>
      </w:pPr>
      <w:r>
        <w:rPr>
          <w:rFonts w:eastAsia="楷体_GB2312"/>
          <w:b/>
          <w:bCs/>
          <w:szCs w:val="28"/>
        </w:rPr>
        <w:t>促进农产品流通业提档升级。</w:t>
      </w:r>
      <w:r>
        <w:rPr>
          <w:szCs w:val="28"/>
        </w:rPr>
        <w:t>强化产地市场体系建设，加快建设布局合理、分工明确、优势互补的特色农产品产地市场体系。提升皖西农产品交易市场、紫竹林农产品批发市场等农产品物流园建设水平，完善冷藏冷冻、物流配送、信息服务、电子结算、电子监控等配套设施，提升价格形成中心、产业信息中心、物流集散中心、科技交流中心和会展贸易中心功能，把产地交易市场建设成生产基地和外地客商间稳定的信息交流和资源交易平台。实施田头市场标准化建设工程，在畜禽、水产、茶叶、水果、蔬菜等特色农产品生产集中村镇，布局建设一批田头市场，重点开展地面硬化、称重计量、商品化处理、贮藏保鲜、质量检测、信息服务等基础设施建设。加快建设冷链仓储物流设施，提升清洗、烘干、分级、包装、贮藏、冷冻冷藏、查验等设施水平，配备完善尾菜等废弃物分类处置和污染物处理设施，探索建立“全程温控、标准健全、绿色安全、应用广泛”的农产品全程冷链物流服务体系。积极搭建农产品产销对接平台，扩大农展、农批、农超、农社、农企、农校等对接范围。</w:t>
      </w:r>
    </w:p>
    <w:p w14:paraId="21CDBEE7">
      <w:pPr>
        <w:pStyle w:val="3"/>
        <w:spacing w:beforeLines="50" w:afterLines="50" w:line="240" w:lineRule="auto"/>
        <w:ind w:firstLine="641"/>
        <w:jc w:val="left"/>
        <w:rPr>
          <w:rFonts w:ascii="Times New Roman" w:hAnsi="Times New Roman"/>
          <w:b w:val="0"/>
          <w:sz w:val="30"/>
          <w:szCs w:val="30"/>
        </w:rPr>
      </w:pPr>
      <w:bookmarkStart w:id="221" w:name="_Toc5382"/>
      <w:bookmarkStart w:id="222" w:name="_Toc21258"/>
      <w:bookmarkStart w:id="223" w:name="_Toc16910"/>
      <w:bookmarkStart w:id="224" w:name="_Toc2293"/>
      <w:bookmarkStart w:id="225" w:name="_Toc12022"/>
      <w:bookmarkStart w:id="226" w:name="_Toc97033768"/>
      <w:r>
        <w:rPr>
          <w:rFonts w:ascii="Times New Roman" w:hAnsi="Times New Roman"/>
          <w:b w:val="0"/>
          <w:sz w:val="30"/>
          <w:szCs w:val="30"/>
        </w:rPr>
        <w:t>（二）发展乡村新产业新业态</w:t>
      </w:r>
      <w:bookmarkEnd w:id="221"/>
      <w:bookmarkEnd w:id="222"/>
      <w:bookmarkEnd w:id="223"/>
      <w:bookmarkEnd w:id="224"/>
      <w:bookmarkEnd w:id="225"/>
      <w:bookmarkEnd w:id="226"/>
    </w:p>
    <w:p w14:paraId="2470FB0C">
      <w:pPr>
        <w:ind w:firstLine="643"/>
        <w:rPr>
          <w:szCs w:val="28"/>
        </w:rPr>
      </w:pPr>
      <w:r>
        <w:rPr>
          <w:rFonts w:eastAsia="楷体_GB2312"/>
          <w:b/>
          <w:bCs/>
          <w:szCs w:val="28"/>
        </w:rPr>
        <w:t>全域推进乡村休闲旅游精品发展。</w:t>
      </w:r>
      <w:r>
        <w:rPr>
          <w:szCs w:val="28"/>
        </w:rPr>
        <w:t>深入挖掘红色、绿色和各类特色旅游资源，优化特色乡村休闲旅游产业布局，依托六安茶谷、淠河生态经济带、江淮果岭、西山药库等绿色发展平台，加快构建“四沿”（沿S329红色旅游、沿S244特色小镇旅游、沿茶谷绿道生态旅游、沿淠河绿道湿地旅游）、“五板块”（南部独山红色旅游板块、北部特色小镇旅游板块、大别山湿地观光体验旅游板块、茶谷果岭生态休闲旅游板块、滨水古城文化旅游板块）的全域旅游深度开发格局。深入实施乡村休闲旅游精品工程，发展休闲观光、红色研学、山水康养、科普教育、农事体验等乡村休闲旅游业态，加快完善乡村休闲旅游公共服务设施和配套设施，重点建设一批乡村休闲旅游精美园区和重点村镇，创响一批农业精品节庆活动，推介一批乡村休闲旅游精品景点线路。</w:t>
      </w:r>
    </w:p>
    <w:p w14:paraId="44EEBFA7">
      <w:pPr>
        <w:ind w:firstLine="643"/>
        <w:rPr>
          <w:szCs w:val="28"/>
        </w:rPr>
      </w:pPr>
      <w:r>
        <w:rPr>
          <w:rFonts w:eastAsia="楷体_GB2312"/>
          <w:b/>
          <w:bCs/>
          <w:szCs w:val="28"/>
        </w:rPr>
        <w:t>加快农村电子商务发展。</w:t>
      </w:r>
      <w:r>
        <w:rPr>
          <w:szCs w:val="28"/>
        </w:rPr>
        <w:t>扩大电子商务进农村覆盖面，加快培育农村电子商务主体，引导电商、物流、商贸、金融、供销、快递等市场主体到乡村布局，积极发展农村物流共同配送。深入实施“互联网+”农产品出村进城工程，巩固国家电子商务进农村综合示范区创建成果，依托邮乐农品、聚农e购、天猫、京东等电子商务平台，引导农头企业、农民合作社、家庭农场和农业经纪人等积极开展农产品网上销售等业务。加强农村电商人才培训培育，依托裕安区农村电子商务公共服务中心、电商创业园等载体，以返乡大学毕业生、大学生村官、农村青年致富带头人、返乡创业青年和部分个体经营户为重点，培育一批农村电子商务创业带头人。推进“数商兴农”，推动农村电商基础设施数字化改造、智能化升级，完善特色农产品网络销售的包装、标识，支持电商主体开展SC认证、标准化生产，打造裕安电商名优品牌。</w:t>
      </w:r>
    </w:p>
    <w:p w14:paraId="5EFA42CF">
      <w:pPr>
        <w:ind w:firstLine="643"/>
        <w:rPr>
          <w:szCs w:val="28"/>
        </w:rPr>
      </w:pPr>
      <w:r>
        <w:rPr>
          <w:rFonts w:eastAsia="楷体_GB2312"/>
          <w:b/>
          <w:bCs/>
          <w:szCs w:val="28"/>
        </w:rPr>
        <w:t>培育乡村新型服务业。</w:t>
      </w:r>
      <w:r>
        <w:rPr>
          <w:szCs w:val="28"/>
        </w:rPr>
        <w:t>积极发展生产性服务业，支持供销、农业服务公司、农民合作社等开展农资供应、农业托管、统防统治、烘干收储等农业生产性服务，以及市场信息、农业废弃物资源化利用、农机作业及维修、农产品营销等服务，引导各类服务主体把服务网点延伸到乡村。拓展生活性服务业领域，改造提升餐饮住宿、商超零售、电器维修、再生资源回收等乡村生活服务业，积极发展养老护幼、卫生保洁、文化演出、体育健身、法律咨询、信息中介、典礼司仪等乡村服务业。积极发展订制服务、体验服务、智慧服务、共享服务、绿色服务等新形态，探索“线上交易+线下服务”的乡村生活服务新模式。</w:t>
      </w:r>
    </w:p>
    <w:p w14:paraId="4FE4A914">
      <w:pPr>
        <w:ind w:firstLine="643"/>
      </w:pPr>
      <w:r>
        <w:rPr>
          <w:rFonts w:eastAsia="楷体_GB2312"/>
          <w:b/>
          <w:bCs/>
          <w:szCs w:val="28"/>
        </w:rPr>
        <w:t>做精乡土特色产业。</w:t>
      </w:r>
      <w:r>
        <w:rPr>
          <w:szCs w:val="28"/>
        </w:rPr>
        <w:t>积极发展小宗类、多品种特色农业，创响一批“土字号”“乡字号”特色农产品品牌，把地方土特产和小品种做成带动农民增收的大产业。加强地方特色品种资源保护和开发利用，因地制宜发展大麻、白山羊、黑毛猪、麻黄鸡、泥鳅、黄鳝、黄颡鱼、生态甲鱼等小宗类、多样性特色种养，推进乡土特色产业基地建设。加强农业农村各类文化遗产资源的保护利用，传承保护和创新发展六安瓜片传统制作、大别山盆景、六安竹编、徐集花生糖、六安蒿子粑粑、鸽鸫理窝舞、十把小扇舞、六安大鼓书等传统特色技艺。</w:t>
      </w:r>
    </w:p>
    <w:p w14:paraId="10BE9006">
      <w:pPr>
        <w:pStyle w:val="3"/>
        <w:spacing w:beforeLines="50" w:afterLines="50" w:line="240" w:lineRule="auto"/>
        <w:ind w:firstLine="641"/>
        <w:jc w:val="left"/>
        <w:rPr>
          <w:rFonts w:ascii="Times New Roman" w:hAnsi="Times New Roman"/>
          <w:b w:val="0"/>
          <w:sz w:val="30"/>
          <w:szCs w:val="30"/>
        </w:rPr>
      </w:pPr>
      <w:bookmarkStart w:id="227" w:name="_Toc22518"/>
      <w:bookmarkStart w:id="228" w:name="_Toc97033769"/>
      <w:bookmarkStart w:id="229" w:name="_Toc12897"/>
      <w:r>
        <w:rPr>
          <w:rFonts w:ascii="Times New Roman" w:hAnsi="Times New Roman"/>
          <w:b w:val="0"/>
          <w:sz w:val="30"/>
          <w:szCs w:val="30"/>
        </w:rPr>
        <w:t>（三）培育高端农业品牌</w:t>
      </w:r>
      <w:bookmarkEnd w:id="227"/>
      <w:bookmarkEnd w:id="228"/>
      <w:bookmarkEnd w:id="229"/>
    </w:p>
    <w:p w14:paraId="61F81B49">
      <w:pPr>
        <w:ind w:firstLine="643"/>
        <w:rPr>
          <w:szCs w:val="28"/>
        </w:rPr>
      </w:pPr>
      <w:r>
        <w:rPr>
          <w:rFonts w:eastAsia="楷体_GB2312"/>
          <w:b/>
          <w:bCs/>
          <w:szCs w:val="28"/>
        </w:rPr>
        <w:t>构建农业品牌体系。</w:t>
      </w:r>
      <w:r>
        <w:rPr>
          <w:szCs w:val="28"/>
        </w:rPr>
        <w:t>实施特色化、差异化品牌发展战略，以品牌粮食、特色畜禽、名优茶叶、优质蔬菜、精品水果、高品质水产等优势特色产业为重点，加快构建特色鲜明、互为补充的农业品牌体系。加强区域公用品牌建设，强化“丰源裕安”“六安瓜片”“六安茶谷”等授权管理和产权保护，推行统一标准、统一标识、统一印制、统一使用的区域公共品牌使用制度。加强企业品牌培育，支持行业协会、龙头企业、合作社、家庭农场等主体，开展品牌注册、广告营销、品牌宣传、品牌提升，重点培育一批在省内、全国具有重要影响力和美誉度的农业企业品牌和产品品牌。</w:t>
      </w:r>
    </w:p>
    <w:p w14:paraId="212E53F9">
      <w:pPr>
        <w:ind w:firstLine="643"/>
        <w:rPr>
          <w:szCs w:val="28"/>
        </w:rPr>
      </w:pPr>
      <w:r>
        <w:rPr>
          <w:rFonts w:eastAsia="楷体_GB2312"/>
          <w:b/>
          <w:bCs/>
          <w:szCs w:val="28"/>
        </w:rPr>
        <w:t>优化品牌发展机制。</w:t>
      </w:r>
      <w:r>
        <w:rPr>
          <w:szCs w:val="28"/>
        </w:rPr>
        <w:t>建立农业品牌目录制度，组织开展目录标准制定、品牌征集、审核推荐、推选认定、培育保护等工作。建立健全农业品牌管理制度，推行品牌目录动态管理，对进入目录的品牌实行定期审核与退出机制。全面推行食用农产品达标合格证制度，推进绿色食品、有机农产品、地理标志农产品认证。完善农业品牌保护体系，全面加强农业品牌监管，强化商标及地理标志商标注册和保护。加大对套牌和滥用品牌行为惩处力度，加强品牌中介机构行为监管。</w:t>
      </w:r>
    </w:p>
    <w:p w14:paraId="347271E7">
      <w:pPr>
        <w:pStyle w:val="4"/>
        <w:spacing w:line="240" w:lineRule="auto"/>
        <w:ind w:left="0" w:leftChars="0" w:firstLine="548"/>
        <w:rPr>
          <w:sz w:val="28"/>
          <w:szCs w:val="28"/>
        </w:rPr>
      </w:pPr>
      <w:r>
        <w:rPr>
          <w:rFonts w:eastAsia="楷体_GB2312"/>
          <w:b/>
          <w:bCs/>
          <w:sz w:val="28"/>
          <w:szCs w:val="28"/>
        </w:rPr>
        <w:t>培育高端特色农业品牌。</w:t>
      </w:r>
      <w:r>
        <w:rPr>
          <w:sz w:val="28"/>
          <w:szCs w:val="28"/>
        </w:rPr>
        <w:t>支持龙头企业申请注册商标，申报驰名商标。支持龙头企业与合作社、家庭农场联合共建农业品牌，实现品牌的价值共享。支持龙头企业利用自有品牌、自主知识产权，发展进出口贸易。加快培育、引进跨国企业和国际知名品牌，积极引进域外优势农产品品牌企业开展联合经营、建设原料基地或者委托代加工。促进品牌营销，挖掘和丰富品牌内涵，培育品牌文化，组织新型农业经营主体参加各类农业展览会、产销对接会，鼓励新型农业经营主体通过电商等平台开展品牌营销，提升品牌影响。</w:t>
      </w:r>
    </w:p>
    <w:p w14:paraId="3953175B">
      <w:pPr>
        <w:pStyle w:val="3"/>
        <w:spacing w:beforeLines="50" w:afterLines="50" w:line="240" w:lineRule="auto"/>
        <w:ind w:firstLine="641"/>
        <w:jc w:val="left"/>
        <w:rPr>
          <w:rFonts w:ascii="Times New Roman" w:hAnsi="Times New Roman"/>
          <w:b w:val="0"/>
          <w:sz w:val="30"/>
          <w:szCs w:val="30"/>
        </w:rPr>
      </w:pPr>
      <w:bookmarkStart w:id="230" w:name="_Toc31883"/>
      <w:bookmarkStart w:id="231" w:name="_Toc32656"/>
      <w:bookmarkStart w:id="232" w:name="_Toc2103"/>
      <w:bookmarkStart w:id="233" w:name="_Toc19371"/>
      <w:bookmarkStart w:id="234" w:name="_Toc97033770"/>
      <w:bookmarkStart w:id="235" w:name="_Toc16543"/>
      <w:bookmarkStart w:id="236" w:name="_Toc17157"/>
      <w:r>
        <w:rPr>
          <w:rFonts w:ascii="Times New Roman" w:hAnsi="Times New Roman"/>
          <w:b w:val="0"/>
          <w:sz w:val="30"/>
          <w:szCs w:val="30"/>
        </w:rPr>
        <w:t>（四）推进农村创新创业</w:t>
      </w:r>
      <w:bookmarkEnd w:id="230"/>
      <w:bookmarkEnd w:id="231"/>
      <w:bookmarkEnd w:id="232"/>
      <w:bookmarkEnd w:id="233"/>
      <w:bookmarkEnd w:id="234"/>
      <w:bookmarkEnd w:id="235"/>
      <w:bookmarkEnd w:id="236"/>
    </w:p>
    <w:p w14:paraId="52822CBB">
      <w:pPr>
        <w:ind w:firstLine="643"/>
        <w:rPr>
          <w:szCs w:val="28"/>
        </w:rPr>
      </w:pPr>
      <w:r>
        <w:rPr>
          <w:rFonts w:eastAsia="楷体_GB2312"/>
          <w:b/>
          <w:bCs/>
          <w:szCs w:val="28"/>
        </w:rPr>
        <w:t>培育创新创业主体。</w:t>
      </w:r>
      <w:r>
        <w:rPr>
          <w:szCs w:val="28"/>
        </w:rPr>
        <w:t>实施农村创新创业带头人培育行动，引导有资金和经验积累的农民工返乡创业，支持大中专毕业生、退役军人、科技人员和工商业主等入乡</w:t>
      </w:r>
      <w:r>
        <w:rPr>
          <w:spacing w:val="-4"/>
          <w:szCs w:val="28"/>
        </w:rPr>
        <w:t>创业，鼓励能工巧匠和“田秀才”“土专家”等乡村能人在乡创业。引导城市各类人才投身乡村产业发展，打造一支懂经营、善管理、具有战略眼光和开拓精神的乡村企业家队伍。及时总结农村创业创新的典型模式，大力推介农村</w:t>
      </w:r>
      <w:r>
        <w:rPr>
          <w:szCs w:val="28"/>
        </w:rPr>
        <w:t>创业创新的典型案例，用鲜活的事例激励人、拼搏的精神鼓舞人、创意的点子启迪人，积极营造大众创业、万众创新良好氛围。</w:t>
      </w:r>
    </w:p>
    <w:p w14:paraId="32D13C73">
      <w:pPr>
        <w:ind w:firstLine="643"/>
        <w:rPr>
          <w:szCs w:val="28"/>
        </w:rPr>
      </w:pPr>
      <w:r>
        <w:rPr>
          <w:rFonts w:eastAsia="楷体_GB2312"/>
          <w:b/>
          <w:bCs/>
          <w:szCs w:val="28"/>
        </w:rPr>
        <w:t>搭建创新创业平台。</w:t>
      </w:r>
      <w:r>
        <w:rPr>
          <w:szCs w:val="28"/>
        </w:rPr>
        <w:t>加强众创空间、实训基地等创新创业孵化器建设，推广农村创业孵化基地、农村创客服务、农科驿站等新型孵化模式，构建市场化、专业化、集成化、网络化的创新创业空间。依托现代农业产业园、电商创业园、农民工返乡创业园、科技创业服务中心等载体，建设要素集聚、设施齐全、服务完善的农村创新创业园区，为各类主体返乡入乡创新创业搭建平台。</w:t>
      </w:r>
    </w:p>
    <w:p w14:paraId="7458CD6F">
      <w:pPr>
        <w:ind w:firstLine="643"/>
        <w:rPr>
          <w:szCs w:val="28"/>
        </w:rPr>
      </w:pPr>
      <w:r>
        <w:rPr>
          <w:rFonts w:eastAsia="楷体_GB2312"/>
          <w:b/>
          <w:bCs/>
          <w:szCs w:val="28"/>
        </w:rPr>
        <w:t>强化创新创业指导服务。</w:t>
      </w:r>
      <w:r>
        <w:rPr>
          <w:szCs w:val="28"/>
        </w:rPr>
        <w:t>建立健全农村创新创业导师队伍，为农村创业人员提供项目、政策、技术和市场营销等精准指导服务。依托高校、科研院所和相关培训机构，让有意愿的创业创新人员参加创新创业培训，对符合条件的人员按规定给予创业培训补贴。完善农村创新创业扶持政策，推动落实创业补贴政策，加大创业贷款等支持力度。支持有条件的乡镇政务大厅设立创新创业服务窗口，提供“一站式”服务。</w:t>
      </w:r>
    </w:p>
    <w:p w14:paraId="1EAD56A5">
      <w:pPr>
        <w:pStyle w:val="3"/>
        <w:spacing w:beforeLines="50" w:afterLines="50" w:line="240" w:lineRule="auto"/>
        <w:ind w:firstLine="641"/>
        <w:jc w:val="left"/>
        <w:rPr>
          <w:rFonts w:ascii="Times New Roman" w:hAnsi="Times New Roman"/>
          <w:b w:val="0"/>
          <w:sz w:val="30"/>
          <w:szCs w:val="30"/>
        </w:rPr>
      </w:pPr>
      <w:bookmarkStart w:id="237" w:name="_Toc6653"/>
      <w:bookmarkStart w:id="238" w:name="_Toc2689"/>
      <w:bookmarkStart w:id="239" w:name="_Toc97033771"/>
      <w:bookmarkStart w:id="240" w:name="_Toc14575"/>
      <w:bookmarkStart w:id="241" w:name="_Toc29382"/>
      <w:bookmarkStart w:id="242" w:name="_Toc6743"/>
      <w:bookmarkStart w:id="243" w:name="_Toc12977"/>
      <w:r>
        <w:rPr>
          <w:rFonts w:ascii="Times New Roman" w:hAnsi="Times New Roman"/>
          <w:b w:val="0"/>
          <w:sz w:val="30"/>
          <w:szCs w:val="30"/>
        </w:rPr>
        <w:t>（五）建设长三角绿色农产品生产加工供应基地</w:t>
      </w:r>
      <w:bookmarkEnd w:id="237"/>
      <w:bookmarkEnd w:id="238"/>
      <w:bookmarkEnd w:id="239"/>
      <w:bookmarkEnd w:id="240"/>
      <w:bookmarkEnd w:id="241"/>
      <w:bookmarkEnd w:id="242"/>
      <w:bookmarkEnd w:id="243"/>
    </w:p>
    <w:p w14:paraId="6C215ACD">
      <w:pPr>
        <w:ind w:firstLine="640"/>
        <w:rPr>
          <w:szCs w:val="28"/>
        </w:rPr>
      </w:pPr>
      <w:r>
        <w:rPr>
          <w:szCs w:val="28"/>
        </w:rPr>
        <w:t>深入实施长三角绿色农产品生产加工供应基地建设“158”行动计划，推动品牌粮食、特色畜禽、名优茶叶、优质蔬菜、精品水果、高品质水产等特色农产品全产业链创建，推动形成区、中心镇、中心村功能衔接的结构布局，促进区镇（乡）联动、产镇融合、产村一体，实现生产基地稳固、加工提档升级、销售渠道畅通，不断提升全区名优农产品在沪苏浙地区市场份额。力争到2025年，特色畜禽全产业链产值突破70亿元，优质蔬菜全产业链产值突破60亿元，品牌粮食、名优茶叶全产业链产值分别突破40亿元，精品水果、高品质水产全产业链产值分别突破30亿元，长三角绿色农产品生产类、加工类、供应类示范基地达到7个，面向沪苏浙地区的农副产品和农产品加工品年销售额达到120亿元。</w:t>
      </w:r>
    </w:p>
    <w:tbl>
      <w:tblPr>
        <w:tblStyle w:val="20"/>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3"/>
      </w:tblGrid>
      <w:tr w14:paraId="3343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8913" w:type="dxa"/>
            <w:vAlign w:val="center"/>
          </w:tcPr>
          <w:p w14:paraId="13B7CFDE">
            <w:pPr>
              <w:pStyle w:val="3"/>
              <w:spacing w:before="0" w:after="0" w:line="240" w:lineRule="auto"/>
              <w:jc w:val="center"/>
              <w:rPr>
                <w:rFonts w:ascii="Times New Roman" w:hAnsi="Times New Roman" w:eastAsia="楷体_GB2312"/>
                <w:b w:val="0"/>
                <w:szCs w:val="28"/>
              </w:rPr>
            </w:pPr>
            <w:bookmarkStart w:id="244" w:name="_Toc97033772"/>
            <w:bookmarkStart w:id="245" w:name="_Toc27506"/>
            <w:bookmarkStart w:id="246" w:name="_Toc20683"/>
            <w:bookmarkStart w:id="247" w:name="_Toc19261"/>
            <w:bookmarkStart w:id="248" w:name="_Toc4686"/>
            <w:bookmarkStart w:id="249" w:name="_Toc7729"/>
            <w:r>
              <w:rPr>
                <w:rFonts w:ascii="Times New Roman" w:hAnsi="Times New Roman"/>
                <w:b w:val="0"/>
                <w:sz w:val="28"/>
                <w:szCs w:val="28"/>
              </w:rPr>
              <w:t>专栏4 现代乡村产业体系提升行动</w:t>
            </w:r>
            <w:bookmarkEnd w:id="244"/>
            <w:bookmarkEnd w:id="245"/>
            <w:bookmarkEnd w:id="246"/>
            <w:bookmarkEnd w:id="247"/>
            <w:bookmarkEnd w:id="248"/>
            <w:bookmarkEnd w:id="249"/>
          </w:p>
        </w:tc>
      </w:tr>
      <w:tr w14:paraId="6746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913" w:type="dxa"/>
          </w:tcPr>
          <w:p w14:paraId="7C055EF6">
            <w:pPr>
              <w:ind w:firstLine="562"/>
              <w:rPr>
                <w:szCs w:val="28"/>
              </w:rPr>
            </w:pPr>
            <w:r>
              <w:rPr>
                <w:bCs/>
                <w:szCs w:val="28"/>
              </w:rPr>
              <w:t xml:space="preserve">1. </w:t>
            </w:r>
            <w:r>
              <w:rPr>
                <w:rFonts w:eastAsia="楷体_GB2312"/>
                <w:b/>
                <w:bCs/>
                <w:szCs w:val="28"/>
              </w:rPr>
              <w:t>农产品加工业“五个一批”工程。</w:t>
            </w:r>
            <w:r>
              <w:rPr>
                <w:szCs w:val="28"/>
              </w:rPr>
              <w:t>加强农产品加工强镇、强园、强企建设，着力引进一批农产品加工重大项目，“十四五”时期，全区发展农产品加工业主营业务收入超50亿元的强镇3个，建设农产品加工主营业务收入超30亿元的强园2个以上，全区新增规上农产品加工企业20家，引进落户一批投资额超亿元的农产品加工企业或深加工项目，到2025年全区农产品加工业产值突破200亿元，在全省位次进一步提升。</w:t>
            </w:r>
          </w:p>
          <w:p w14:paraId="72F018FB">
            <w:pPr>
              <w:ind w:firstLine="562"/>
              <w:rPr>
                <w:szCs w:val="28"/>
              </w:rPr>
            </w:pPr>
            <w:r>
              <w:rPr>
                <w:bCs/>
                <w:szCs w:val="28"/>
              </w:rPr>
              <w:t xml:space="preserve">2. </w:t>
            </w:r>
            <w:r>
              <w:rPr>
                <w:rFonts w:eastAsia="楷体_GB2312"/>
                <w:b/>
                <w:bCs/>
                <w:szCs w:val="28"/>
              </w:rPr>
              <w:t>现代产业园建设工程。</w:t>
            </w:r>
            <w:r>
              <w:rPr>
                <w:szCs w:val="28"/>
              </w:rPr>
              <w:t>加快建设裕安区现代农业产业园，突出“一白一绿”（皖西白鹅、优质水稻）两大主导产业，构建“一带、一核、两园、两基地”空间布局，推进一二三产深度融合，力争到2025年创建成国家级现代农业产业园，园区年总产值超50亿元，农产品加工转化率达90%以上，良种良法覆盖率达100%，园区内农民人均可支配收入高出全区平均水平30%以上。推进“汉妆美谷”大健康美妆产业园建设，积极开发美妆、饮片、颗粒等中药材精深加工产品，打造康养美丽经济。推进独山六安瓜片加工园、青山油茶加工园、徐集中药材加工园、顺河乳制品加工园等绿色食品加工园区建设，推进企业入园集聚发展。</w:t>
            </w:r>
          </w:p>
          <w:p w14:paraId="024DF281">
            <w:pPr>
              <w:ind w:firstLine="562"/>
              <w:rPr>
                <w:szCs w:val="28"/>
              </w:rPr>
            </w:pPr>
            <w:r>
              <w:rPr>
                <w:bCs/>
                <w:szCs w:val="28"/>
              </w:rPr>
              <w:t xml:space="preserve">3. </w:t>
            </w:r>
            <w:r>
              <w:rPr>
                <w:rFonts w:eastAsia="楷体_GB2312"/>
                <w:b/>
                <w:bCs/>
                <w:szCs w:val="28"/>
              </w:rPr>
              <w:t>优势特色产业集群建设工程。</w:t>
            </w:r>
            <w:r>
              <w:rPr>
                <w:szCs w:val="28"/>
              </w:rPr>
              <w:t>推动品牌粮食、特色畜禽、名优茶叶、优质蔬菜、精品水果、高品质水产等特色农产品全产业链发展，建设优势特色农业产业集群，到2025年，特色畜禽全产业链产值突破70亿元，优质蔬菜全产业链产值突破60亿元，品牌粮食、名优茶叶全产业链产值分别突破40亿元，精品水果、高品质水产全产业链产值分别突破30亿元。</w:t>
            </w:r>
          </w:p>
          <w:p w14:paraId="4DF83AED">
            <w:pPr>
              <w:ind w:firstLine="562"/>
              <w:rPr>
                <w:szCs w:val="28"/>
              </w:rPr>
            </w:pPr>
            <w:r>
              <w:rPr>
                <w:bCs/>
                <w:szCs w:val="28"/>
              </w:rPr>
              <w:t xml:space="preserve">4. </w:t>
            </w:r>
            <w:r>
              <w:rPr>
                <w:rFonts w:eastAsia="楷体_GB2312"/>
                <w:b/>
                <w:bCs/>
                <w:szCs w:val="28"/>
              </w:rPr>
              <w:t>农产品产地冷藏保鲜设施建设工程。</w:t>
            </w:r>
            <w:r>
              <w:rPr>
                <w:szCs w:val="28"/>
              </w:rPr>
              <w:t>在村镇支持建设功能先进、运转安全、效益良好的农产品产地冷藏保鲜设施，到2025年基本满足全区新型农业经营主体农产品仓储保鲜冷链设施要求，明显提升鲜活农产品和特色农村品产地冷藏保鲜能力。</w:t>
            </w:r>
          </w:p>
          <w:p w14:paraId="28451AAA">
            <w:pPr>
              <w:ind w:firstLine="562"/>
              <w:rPr>
                <w:szCs w:val="28"/>
              </w:rPr>
            </w:pPr>
            <w:r>
              <w:rPr>
                <w:bCs/>
                <w:szCs w:val="28"/>
              </w:rPr>
              <w:t xml:space="preserve">5. </w:t>
            </w:r>
            <w:r>
              <w:rPr>
                <w:rFonts w:eastAsia="楷体_GB2312"/>
                <w:b/>
                <w:bCs/>
                <w:szCs w:val="28"/>
              </w:rPr>
              <w:t>“互联网+”农产品出村进城工程。</w:t>
            </w:r>
            <w:r>
              <w:rPr>
                <w:szCs w:val="28"/>
              </w:rPr>
              <w:t>实施“互联网+”农产品出村进城工程，推进新型农业经营主体对接全国性和区域性线上线下融合的农业电子商务平台，促进电子商务与农业农村发展有机融合，带动农业转型升级、提质增效，到2025年，全区农产品网络交易额达到50亿元，培育年网销额超千万元电商企业2家以上。</w:t>
            </w:r>
          </w:p>
          <w:p w14:paraId="09EF8B9E">
            <w:pPr>
              <w:ind w:firstLine="562"/>
              <w:rPr>
                <w:szCs w:val="28"/>
              </w:rPr>
            </w:pPr>
            <w:r>
              <w:rPr>
                <w:bCs/>
                <w:szCs w:val="28"/>
              </w:rPr>
              <w:t xml:space="preserve">6. </w:t>
            </w:r>
            <w:r>
              <w:rPr>
                <w:rFonts w:eastAsia="楷体_GB2312"/>
                <w:b/>
                <w:bCs/>
                <w:szCs w:val="28"/>
              </w:rPr>
              <w:t>乡村休闲旅游精品工程。</w:t>
            </w:r>
            <w:r>
              <w:rPr>
                <w:szCs w:val="28"/>
              </w:rPr>
              <w:t>加快完善乡村休闲旅游公共服务设施和配套设施，打响“红镇绿水 慢游裕安”旅游精品品牌，依托特色农业资源、红色资源、生态资源，打造高端休闲农业基地、全国知名的红色旅游和生态康养基地。到2025年，全区休闲农业年接待旅游突破375万人次，综合收入达到14亿元。</w:t>
            </w:r>
          </w:p>
          <w:p w14:paraId="2FDB1BF5">
            <w:pPr>
              <w:ind w:firstLine="562"/>
              <w:rPr>
                <w:szCs w:val="28"/>
              </w:rPr>
            </w:pPr>
            <w:r>
              <w:rPr>
                <w:b/>
                <w:bCs/>
                <w:szCs w:val="28"/>
              </w:rPr>
              <w:t xml:space="preserve">7. </w:t>
            </w:r>
            <w:r>
              <w:rPr>
                <w:rFonts w:eastAsia="楷体_GB2312"/>
                <w:b/>
                <w:bCs/>
                <w:szCs w:val="28"/>
              </w:rPr>
              <w:t>农产品登记认证推进工程。</w:t>
            </w:r>
            <w:r>
              <w:rPr>
                <w:szCs w:val="28"/>
              </w:rPr>
              <w:t>推进绿色食品、有机农产品、地理标志农产品认证。支持企业申请国际通行的农产品认证，执行长三角地区互认的农业标准。到2025年，全区绿色食品、有机食品、地理标志农产品认证数量达到160个。</w:t>
            </w:r>
          </w:p>
          <w:p w14:paraId="19218327">
            <w:pPr>
              <w:pStyle w:val="4"/>
              <w:spacing w:line="240" w:lineRule="auto"/>
              <w:ind w:left="0" w:leftChars="0" w:firstLine="546"/>
            </w:pPr>
            <w:r>
              <w:rPr>
                <w:rFonts w:eastAsia="宋体"/>
                <w:bCs/>
                <w:sz w:val="28"/>
                <w:szCs w:val="28"/>
              </w:rPr>
              <w:t xml:space="preserve">8. </w:t>
            </w:r>
            <w:r>
              <w:rPr>
                <w:rFonts w:eastAsia="楷体_GB2312"/>
                <w:b/>
                <w:bCs/>
                <w:sz w:val="28"/>
                <w:szCs w:val="28"/>
              </w:rPr>
              <w:t>高端农业品牌培育工程。</w:t>
            </w:r>
            <w:r>
              <w:rPr>
                <w:sz w:val="28"/>
                <w:szCs w:val="28"/>
              </w:rPr>
              <w:t>建立裕安区农业品牌目录，完善品牌目录动态管理制度，健全农业品牌保护体系，加强“丰源裕安”“六安瓜片”“六安茶谷”等区域公用品牌建设及管理，鼓励龙头企业、合作社、家庭农场等新型经营主体开展农业品牌创建，加强品牌宣传推介。到2025年，区域公用农业品牌和企业品牌的知名度、影响力进一步增强，全区农产品品牌总量突破120个。</w:t>
            </w:r>
          </w:p>
          <w:p w14:paraId="4BFF315B">
            <w:pPr>
              <w:ind w:firstLine="562"/>
              <w:rPr>
                <w:szCs w:val="28"/>
              </w:rPr>
            </w:pPr>
            <w:r>
              <w:rPr>
                <w:bCs/>
                <w:szCs w:val="28"/>
              </w:rPr>
              <w:t>9.</w:t>
            </w:r>
            <w:r>
              <w:rPr>
                <w:rFonts w:eastAsia="楷体_GB2312"/>
                <w:bCs/>
                <w:szCs w:val="28"/>
              </w:rPr>
              <w:t xml:space="preserve"> </w:t>
            </w:r>
            <w:r>
              <w:rPr>
                <w:rFonts w:eastAsia="楷体_GB2312"/>
                <w:b/>
                <w:bCs/>
                <w:szCs w:val="28"/>
              </w:rPr>
              <w:t>农村创新创业工程。</w:t>
            </w:r>
            <w:r>
              <w:rPr>
                <w:szCs w:val="28"/>
              </w:rPr>
              <w:t>“十四五”期间，创建国家级农民工返乡创业园1个，省级农民工返乡创业园2个，市级农民工返乡创业园4个,培育200名以上农村创新创业带头人，选树50名优秀乡村企业家典型、20家优秀乡村企业典型，更好发挥示范作用。</w:t>
            </w:r>
          </w:p>
        </w:tc>
      </w:tr>
    </w:tbl>
    <w:p w14:paraId="745E2933">
      <w:pPr>
        <w:pStyle w:val="4"/>
        <w:ind w:left="0" w:leftChars="0" w:firstLine="0" w:firstLineChars="0"/>
      </w:pPr>
    </w:p>
    <w:p w14:paraId="324FF06C">
      <w:pPr>
        <w:pStyle w:val="2"/>
        <w:spacing w:before="312" w:after="312" w:line="600" w:lineRule="exact"/>
        <w:jc w:val="center"/>
        <w:rPr>
          <w:rFonts w:ascii="Times New Roman" w:hAnsi="Times New Roman"/>
        </w:rPr>
        <w:sectPr>
          <w:pgSz w:w="11906" w:h="16838"/>
          <w:pgMar w:top="1871" w:right="1588" w:bottom="1588" w:left="1588" w:header="1134" w:footer="907" w:gutter="0"/>
          <w:cols w:space="720" w:num="1"/>
          <w:docGrid w:type="linesAndChars" w:linePitch="445" w:charSpace="-1472"/>
        </w:sectPr>
      </w:pPr>
    </w:p>
    <w:p w14:paraId="2AC162BB">
      <w:pPr>
        <w:pStyle w:val="2"/>
        <w:spacing w:before="312" w:after="312" w:line="600" w:lineRule="exact"/>
        <w:jc w:val="center"/>
        <w:rPr>
          <w:rFonts w:ascii="Times New Roman" w:hAnsi="Times New Roman" w:eastAsia="方正小标宋简体"/>
          <w:b w:val="0"/>
          <w:sz w:val="36"/>
          <w:szCs w:val="36"/>
        </w:rPr>
      </w:pPr>
      <w:bookmarkStart w:id="250" w:name="_Toc28361"/>
      <w:bookmarkStart w:id="251" w:name="_Toc97033773"/>
      <w:bookmarkStart w:id="252" w:name="_Toc23589"/>
      <w:bookmarkStart w:id="253" w:name="_Toc22618"/>
      <w:bookmarkStart w:id="254" w:name="_Toc2979"/>
      <w:bookmarkStart w:id="255" w:name="_Toc23884"/>
      <w:r>
        <w:rPr>
          <w:rFonts w:ascii="Times New Roman" w:hAnsi="Times New Roman" w:eastAsia="方正小标宋简体"/>
          <w:b w:val="0"/>
          <w:sz w:val="36"/>
          <w:szCs w:val="36"/>
        </w:rPr>
        <w:t>七、强化主体联动，健全现代农业经营体系</w:t>
      </w:r>
      <w:bookmarkEnd w:id="250"/>
      <w:bookmarkEnd w:id="251"/>
      <w:bookmarkEnd w:id="252"/>
      <w:bookmarkEnd w:id="253"/>
      <w:bookmarkEnd w:id="254"/>
      <w:bookmarkEnd w:id="255"/>
    </w:p>
    <w:p w14:paraId="6A237729">
      <w:pPr>
        <w:ind w:firstLine="640"/>
        <w:rPr>
          <w:szCs w:val="28"/>
        </w:rPr>
      </w:pPr>
      <w:r>
        <w:rPr>
          <w:szCs w:val="28"/>
        </w:rPr>
        <w:t>发展多种形式适度规模经营，充分发挥家庭农场、农民合作社、龙头企业、社会化服务组织在农业产前、产中、产后的不同优势，加快构建以家庭经营为基础、以合作与联合为纽带、以社会化服务为支撑的立体式复合型现代农业经营体系。</w:t>
      </w:r>
    </w:p>
    <w:p w14:paraId="26971059">
      <w:pPr>
        <w:pStyle w:val="3"/>
        <w:spacing w:beforeLines="20" w:afterLines="20" w:line="240" w:lineRule="auto"/>
        <w:ind w:firstLine="641"/>
        <w:jc w:val="left"/>
        <w:rPr>
          <w:rFonts w:ascii="Times New Roman" w:hAnsi="Times New Roman"/>
          <w:b w:val="0"/>
          <w:sz w:val="30"/>
          <w:szCs w:val="30"/>
        </w:rPr>
      </w:pPr>
      <w:bookmarkStart w:id="256" w:name="_Toc4621"/>
      <w:bookmarkStart w:id="257" w:name="_Toc7034"/>
      <w:bookmarkStart w:id="258" w:name="_Toc4549"/>
      <w:bookmarkStart w:id="259" w:name="_Toc97033774"/>
      <w:bookmarkStart w:id="260" w:name="_Toc102"/>
      <w:bookmarkStart w:id="261" w:name="_Toc29267"/>
      <w:bookmarkStart w:id="262" w:name="_Toc2449"/>
      <w:bookmarkStart w:id="263" w:name="_Toc20452"/>
      <w:r>
        <w:rPr>
          <w:rFonts w:ascii="Times New Roman" w:hAnsi="Times New Roman"/>
          <w:b w:val="0"/>
          <w:sz w:val="30"/>
          <w:szCs w:val="30"/>
        </w:rPr>
        <w:t>（一）加快培育发展家庭农场</w:t>
      </w:r>
      <w:bookmarkEnd w:id="256"/>
      <w:bookmarkEnd w:id="257"/>
      <w:bookmarkEnd w:id="258"/>
      <w:bookmarkEnd w:id="259"/>
      <w:bookmarkEnd w:id="260"/>
      <w:bookmarkEnd w:id="261"/>
      <w:bookmarkEnd w:id="262"/>
      <w:bookmarkEnd w:id="263"/>
    </w:p>
    <w:p w14:paraId="545A2B25">
      <w:pPr>
        <w:ind w:firstLine="640"/>
        <w:rPr>
          <w:szCs w:val="28"/>
        </w:rPr>
      </w:pPr>
      <w:r>
        <w:rPr>
          <w:szCs w:val="28"/>
        </w:rPr>
        <w:t>强化家庭农场管理，培育适度规模经营的农户成立家庭农场，完善家庭农场名录管理制度，把符合条件的种养大户、专业大户纳入目录库管理范围。实施家庭农场培育提升计划，坚持“农户主体、市场导向、示范引领、协调发展、因地制宜”，加强示范引导，探索推进家庭农场发展的政策体系和工作机制。组织开展家庭农场典型案例征集活动，宣传推介一批家庭农场典型案例，树立一批可看可学的家庭农场发展标杆和榜样。通过支持家庭农场优先承担涉农项目等方式，引导家庭农场采用先进科技和生产手段，开展标准化生产。加强家庭农场统计和监测。提高家庭农场经营管理水平和示范带动能力。到2025年，全区家庭农场总数达到1750家，新培育示范家庭农场30家。</w:t>
      </w:r>
    </w:p>
    <w:p w14:paraId="5DB25ABC">
      <w:pPr>
        <w:pStyle w:val="3"/>
        <w:spacing w:beforeLines="20" w:afterLines="20" w:line="240" w:lineRule="auto"/>
        <w:ind w:firstLine="641"/>
        <w:jc w:val="left"/>
        <w:rPr>
          <w:rFonts w:ascii="Times New Roman" w:hAnsi="Times New Roman"/>
          <w:b w:val="0"/>
          <w:sz w:val="30"/>
          <w:szCs w:val="30"/>
        </w:rPr>
      </w:pPr>
      <w:bookmarkStart w:id="264" w:name="_Toc17841"/>
      <w:bookmarkStart w:id="265" w:name="_Toc9930"/>
      <w:bookmarkStart w:id="266" w:name="_Toc97033775"/>
      <w:bookmarkStart w:id="267" w:name="_Toc18447"/>
      <w:bookmarkStart w:id="268" w:name="_Toc26878"/>
      <w:bookmarkStart w:id="269" w:name="_Toc31244"/>
      <w:bookmarkStart w:id="270" w:name="_Toc4753"/>
      <w:bookmarkStart w:id="271" w:name="_Toc8728"/>
      <w:r>
        <w:rPr>
          <w:rFonts w:ascii="Times New Roman" w:hAnsi="Times New Roman"/>
          <w:b w:val="0"/>
          <w:sz w:val="30"/>
          <w:szCs w:val="30"/>
        </w:rPr>
        <w:t>（二）促进农民合作社</w:t>
      </w:r>
      <w:bookmarkEnd w:id="264"/>
      <w:bookmarkEnd w:id="265"/>
      <w:r>
        <w:rPr>
          <w:rFonts w:ascii="Times New Roman" w:hAnsi="Times New Roman"/>
          <w:b w:val="0"/>
          <w:sz w:val="30"/>
          <w:szCs w:val="30"/>
        </w:rPr>
        <w:t>规范提升</w:t>
      </w:r>
      <w:bookmarkEnd w:id="266"/>
      <w:bookmarkEnd w:id="267"/>
      <w:bookmarkEnd w:id="268"/>
      <w:bookmarkEnd w:id="269"/>
      <w:bookmarkEnd w:id="270"/>
      <w:bookmarkEnd w:id="271"/>
    </w:p>
    <w:p w14:paraId="36DF9860">
      <w:pPr>
        <w:ind w:firstLine="640"/>
        <w:rPr>
          <w:szCs w:val="28"/>
        </w:rPr>
      </w:pPr>
      <w:r>
        <w:rPr>
          <w:szCs w:val="28"/>
        </w:rPr>
        <w:t>实施农民合作社高质量发展计划，坚持“规范立社、重组兴社、服务活社、质量强社、多元扶社”，发展壮大农民合作社，培育发展农民合作社联合社，提升农民合作社科技水平和指导扶持服务水平，增强农民合作社服务带动能力。持续开展示范社评定，建立示范社名录，支持符合条件的合作社申报创建国家级、省级、市级示范社。增强农民合作社服务带动能力，支持农民合作社利用当地资源，带动成员开展连片种植、规模饲养，壮大优势特色产业，培育农业品牌。鼓励农民合作社加强农产品初加工、仓储物流、技术指导、市场营销等关键环节能力建设。鼓励农民合作社建设运营农业废弃物、农村生活垃圾处理和资源化利用设施，参与农村公共基础设施建管护和乡村文化建设。到2025年，全区农民合作社总数达到1550家，新培育示范合作社30家，示范联合社达到5个。</w:t>
      </w:r>
    </w:p>
    <w:p w14:paraId="096E5B68">
      <w:pPr>
        <w:pStyle w:val="3"/>
        <w:spacing w:beforeLines="20" w:afterLines="50" w:line="240" w:lineRule="auto"/>
        <w:ind w:firstLine="641"/>
        <w:jc w:val="left"/>
        <w:rPr>
          <w:rFonts w:ascii="Times New Roman" w:hAnsi="Times New Roman"/>
          <w:b w:val="0"/>
          <w:sz w:val="30"/>
          <w:szCs w:val="30"/>
        </w:rPr>
      </w:pPr>
      <w:bookmarkStart w:id="272" w:name="_Toc23371"/>
      <w:bookmarkStart w:id="273" w:name="_Toc9850"/>
      <w:bookmarkStart w:id="274" w:name="_Toc21832"/>
      <w:bookmarkStart w:id="275" w:name="_Toc16982"/>
      <w:bookmarkStart w:id="276" w:name="_Toc22321"/>
      <w:bookmarkStart w:id="277" w:name="_Toc13943"/>
      <w:bookmarkStart w:id="278" w:name="_Toc97033776"/>
      <w:bookmarkStart w:id="279" w:name="_Toc3210"/>
      <w:r>
        <w:rPr>
          <w:rFonts w:ascii="Times New Roman" w:hAnsi="Times New Roman"/>
          <w:b w:val="0"/>
          <w:sz w:val="30"/>
          <w:szCs w:val="30"/>
        </w:rPr>
        <w:t>（三）</w:t>
      </w:r>
      <w:bookmarkEnd w:id="272"/>
      <w:r>
        <w:rPr>
          <w:rFonts w:ascii="Times New Roman" w:hAnsi="Times New Roman"/>
          <w:b w:val="0"/>
          <w:sz w:val="30"/>
          <w:szCs w:val="30"/>
        </w:rPr>
        <w:t>壮大农业社会化服务组织</w:t>
      </w:r>
      <w:bookmarkEnd w:id="273"/>
      <w:bookmarkEnd w:id="274"/>
      <w:bookmarkEnd w:id="275"/>
      <w:bookmarkEnd w:id="276"/>
      <w:bookmarkEnd w:id="277"/>
      <w:bookmarkEnd w:id="278"/>
      <w:bookmarkEnd w:id="279"/>
    </w:p>
    <w:p w14:paraId="18A1E1CD">
      <w:pPr>
        <w:pStyle w:val="15"/>
        <w:spacing w:line="240" w:lineRule="auto"/>
        <w:ind w:firstLine="546"/>
        <w:jc w:val="both"/>
        <w:rPr>
          <w:sz w:val="28"/>
          <w:szCs w:val="28"/>
        </w:rPr>
      </w:pPr>
      <w:r>
        <w:rPr>
          <w:sz w:val="28"/>
          <w:szCs w:val="28"/>
        </w:rPr>
        <w:t>加强农业专业化社会化服务组织培育，积极发展多层次、多元化农业社会化服务。大力推进农业生产托管服务加快发展，支持各类服务主体向小农户提供低成本、便利化的农业生产托管服务，发展单环节托管、多环节托管、关键环节托管、综合托管和全程托管等多种托管模式，不断扩大生产托管对小农户的覆盖面。开展农业社会化服务规范化试点建设，制定托管服务主体规范化建设标准，加快培育一批服务能力强、制度健全、运行规范的示范服务组织，推动行业规范发展。积极推进农业全产业链综合服务平台建设，提升全程机械化综合农事服务中心服务能力，畅通供需对接渠道，探索通过服务平台实现社会化服务供需双方信息线上对接、线下服务的有效运行模式。到2025年，全区农业社会化服务组织达到100家，农业社会化服务市场化、专业化、标准化、信息化水平显著提升，基本建立全程覆盖、综合配套、便捷高效的现代农业社会化服务体系。</w:t>
      </w:r>
    </w:p>
    <w:p w14:paraId="621B0799">
      <w:pPr>
        <w:pStyle w:val="3"/>
        <w:spacing w:beforeLines="30" w:afterLines="30" w:line="240" w:lineRule="auto"/>
        <w:ind w:firstLine="641"/>
        <w:jc w:val="left"/>
        <w:rPr>
          <w:rFonts w:ascii="Times New Roman" w:hAnsi="Times New Roman"/>
          <w:b w:val="0"/>
          <w:sz w:val="30"/>
          <w:szCs w:val="30"/>
        </w:rPr>
      </w:pPr>
      <w:bookmarkStart w:id="280" w:name="_Toc22908"/>
      <w:bookmarkStart w:id="281" w:name="_Toc6526"/>
      <w:bookmarkStart w:id="282" w:name="_Toc13689"/>
      <w:bookmarkStart w:id="283" w:name="_Toc97033777"/>
      <w:bookmarkStart w:id="284" w:name="_Toc14539"/>
      <w:bookmarkStart w:id="285" w:name="_Toc13847"/>
      <w:bookmarkStart w:id="286" w:name="_Toc29260"/>
      <w:r>
        <w:rPr>
          <w:rFonts w:ascii="Times New Roman" w:hAnsi="Times New Roman"/>
          <w:b w:val="0"/>
          <w:sz w:val="30"/>
          <w:szCs w:val="30"/>
        </w:rPr>
        <w:t>（四）增强龙头企业带动能力</w:t>
      </w:r>
      <w:bookmarkEnd w:id="280"/>
      <w:bookmarkEnd w:id="281"/>
      <w:bookmarkEnd w:id="282"/>
      <w:bookmarkEnd w:id="283"/>
      <w:bookmarkEnd w:id="284"/>
      <w:bookmarkEnd w:id="285"/>
      <w:bookmarkEnd w:id="286"/>
    </w:p>
    <w:p w14:paraId="13CC0A2D">
      <w:pPr>
        <w:ind w:firstLine="640"/>
        <w:rPr>
          <w:szCs w:val="28"/>
        </w:rPr>
      </w:pPr>
      <w:r>
        <w:rPr>
          <w:szCs w:val="28"/>
        </w:rPr>
        <w:t>加大“双招双引”力度，引进农产品加工领军企业，加快培育省级、国家级龙头企业，形成国家、省、市、区级龙头企业梯队，打造乡村产业发展“新雁阵”。引导龙头企业采取兼并重组、股份合作、资产转让等形式，建立大型农业企业集团，打造知名企业品牌，提升龙头企业在乡村产业发展中的带动能力。大力推广农业产业化联合体经营模式，发挥龙头企业在产业链中的引领带动作用，联合农民合作社、家庭农场、农户以及从事农业技术研发、储运销售、品牌运营、综合服务等全产业链各类主体，共同开发优势特色资源、优化配置创新要素。引导农业产业化联合体建立紧密稳定的利益联结机制，开展技术共享、信息共享、品牌共享、渠道共享、利益共享等，提高资源要素的利用和产出效率，让农民合理分享全产业链增值收益。到2025年，全区农业产业化龙头企业达到120家，其中省级以上农业产业化龙头企业达到7家，农业产业化联合体达到5个。</w:t>
      </w:r>
    </w:p>
    <w:p w14:paraId="5D75D6BE">
      <w:pPr>
        <w:pStyle w:val="3"/>
        <w:spacing w:beforeLines="30" w:afterLines="30" w:line="240" w:lineRule="auto"/>
        <w:ind w:firstLine="641"/>
        <w:jc w:val="left"/>
        <w:rPr>
          <w:rFonts w:ascii="Times New Roman" w:hAnsi="Times New Roman"/>
          <w:b w:val="0"/>
          <w:sz w:val="30"/>
          <w:szCs w:val="30"/>
        </w:rPr>
      </w:pPr>
      <w:bookmarkStart w:id="287" w:name="_Toc5876"/>
      <w:bookmarkStart w:id="288" w:name="_Toc11506"/>
      <w:bookmarkStart w:id="289" w:name="_Toc97033778"/>
      <w:bookmarkStart w:id="290" w:name="_Toc11164"/>
      <w:bookmarkStart w:id="291" w:name="_Toc2382"/>
      <w:bookmarkStart w:id="292" w:name="_Toc5272"/>
      <w:bookmarkStart w:id="293" w:name="_Toc8004"/>
      <w:bookmarkStart w:id="294" w:name="_Toc19222"/>
      <w:r>
        <w:rPr>
          <w:rFonts w:ascii="Times New Roman" w:hAnsi="Times New Roman"/>
          <w:b w:val="0"/>
          <w:sz w:val="30"/>
          <w:szCs w:val="30"/>
        </w:rPr>
        <w:t>（五）加强乡村人才队伍建设</w:t>
      </w:r>
      <w:bookmarkEnd w:id="287"/>
      <w:bookmarkEnd w:id="288"/>
      <w:bookmarkEnd w:id="289"/>
      <w:bookmarkEnd w:id="290"/>
      <w:bookmarkEnd w:id="291"/>
      <w:bookmarkEnd w:id="292"/>
      <w:bookmarkEnd w:id="293"/>
      <w:bookmarkEnd w:id="294"/>
    </w:p>
    <w:p w14:paraId="55748FAF">
      <w:pPr>
        <w:ind w:firstLine="640"/>
        <w:rPr>
          <w:szCs w:val="28"/>
        </w:rPr>
      </w:pPr>
      <w:r>
        <w:rPr>
          <w:szCs w:val="28"/>
        </w:rPr>
        <w:t>进一步加大政策支持力度，鼓励市民下乡，引导能人回乡，诚请高知入乡，招引企业家兴乡，激发农业农村发展活力。实施新型职业农民培训民生工程，健全分层分类开展全产业链培训、训育结合工作机制，培养高素质农民队伍。大力推进农业特色产业“138＋N”工程，开展以“培养能人、培育产业”为重点的农村产业发展带头人培训工作，发展壮大农村能人经济。实施科技特派员创新创业五年行动计划，力争到2025年全区科技特派员总数达到160名，创建一批科技特派员创业链工作站、农业科技专家大院。全面实施农业技术推广服务特聘计划，加强基层农技推广服务人才培养体系建设，充实乡镇农经、农技干部队伍。开展农村专业人才认定，重点培养一批乡村企业家、农业经理人、经纪人、乡村工匠、文化能人、非遗传承人等。继续实施“三支一扶”、特岗教师计划、专业人才定向培养计划等。建立健全专业人才统筹使用管理制度，提高农村专业人才服务保障能力。</w:t>
      </w:r>
    </w:p>
    <w:tbl>
      <w:tblPr>
        <w:tblStyle w:val="20"/>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9"/>
      </w:tblGrid>
      <w:tr w14:paraId="36E6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8899" w:type="dxa"/>
            <w:vAlign w:val="center"/>
          </w:tcPr>
          <w:p w14:paraId="4391295E">
            <w:pPr>
              <w:pStyle w:val="3"/>
              <w:spacing w:before="0" w:after="0" w:line="240" w:lineRule="auto"/>
              <w:jc w:val="center"/>
              <w:rPr>
                <w:rFonts w:ascii="Times New Roman" w:hAnsi="Times New Roman" w:eastAsia="楷体_GB2312"/>
                <w:szCs w:val="28"/>
              </w:rPr>
            </w:pPr>
            <w:bookmarkStart w:id="295" w:name="_Toc3847"/>
            <w:bookmarkStart w:id="296" w:name="_Toc3573"/>
            <w:bookmarkStart w:id="297" w:name="_Toc6016"/>
            <w:bookmarkStart w:id="298" w:name="_Toc25230"/>
            <w:bookmarkStart w:id="299" w:name="_Toc97033779"/>
            <w:bookmarkStart w:id="300" w:name="_Toc12155"/>
            <w:r>
              <w:rPr>
                <w:rFonts w:ascii="Times New Roman" w:hAnsi="Times New Roman"/>
                <w:sz w:val="28"/>
                <w:szCs w:val="28"/>
              </w:rPr>
              <w:t>专栏5 现代农业经营体系建设行动</w:t>
            </w:r>
            <w:bookmarkEnd w:id="295"/>
            <w:bookmarkEnd w:id="296"/>
            <w:bookmarkEnd w:id="297"/>
            <w:bookmarkEnd w:id="298"/>
            <w:bookmarkEnd w:id="299"/>
            <w:bookmarkEnd w:id="300"/>
          </w:p>
        </w:tc>
      </w:tr>
      <w:tr w14:paraId="6515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9" w:hRule="atLeast"/>
        </w:trPr>
        <w:tc>
          <w:tcPr>
            <w:tcW w:w="8899" w:type="dxa"/>
          </w:tcPr>
          <w:p w14:paraId="36F3C602">
            <w:pPr>
              <w:ind w:firstLine="562"/>
              <w:rPr>
                <w:szCs w:val="28"/>
              </w:rPr>
            </w:pPr>
            <w:r>
              <w:rPr>
                <w:bCs/>
                <w:szCs w:val="28"/>
              </w:rPr>
              <w:t xml:space="preserve">1. </w:t>
            </w:r>
            <w:r>
              <w:rPr>
                <w:rFonts w:eastAsia="楷体_GB2312"/>
                <w:b/>
                <w:bCs/>
                <w:szCs w:val="28"/>
              </w:rPr>
              <w:t>示范新型农业经营主体培育工程。</w:t>
            </w:r>
            <w:r>
              <w:rPr>
                <w:szCs w:val="28"/>
              </w:rPr>
              <w:t>突出抓好家庭农场，农民合作社两类经营主体培育，到2025年，全区新培育示范家庭农场、示范合作社各30家，新型经营主体经营能力、带动作用和示范效益大幅提升。</w:t>
            </w:r>
          </w:p>
          <w:p w14:paraId="4622CE35">
            <w:pPr>
              <w:ind w:firstLine="562"/>
              <w:rPr>
                <w:b/>
                <w:bCs/>
              </w:rPr>
            </w:pPr>
            <w:r>
              <w:rPr>
                <w:bCs/>
                <w:szCs w:val="28"/>
              </w:rPr>
              <w:t>2.</w:t>
            </w:r>
            <w:r>
              <w:rPr>
                <w:rFonts w:eastAsia="楷体_GB2312"/>
                <w:bCs/>
                <w:szCs w:val="28"/>
              </w:rPr>
              <w:t xml:space="preserve"> </w:t>
            </w:r>
            <w:r>
              <w:rPr>
                <w:rFonts w:eastAsia="楷体_GB2312"/>
                <w:b/>
                <w:bCs/>
                <w:szCs w:val="28"/>
              </w:rPr>
              <w:t>农业社会化服务组织培育工程。</w:t>
            </w:r>
            <w:r>
              <w:rPr>
                <w:szCs w:val="28"/>
              </w:rPr>
              <w:t>以粮食、茶叶、水果等特色优势主导产业为重点，开展小农户生产托管服务推广试点工作，按照规模适度、服务半径适宜、方便农户和农业生产为原则，建设一批农业生产托管服务站，引导小农户积极接受农业生产托管服务。到2025年，全区各类农业生产性服务组织达到400个，服务面积达60万亩次。</w:t>
            </w:r>
          </w:p>
          <w:p w14:paraId="3FC19208">
            <w:pPr>
              <w:ind w:firstLine="562"/>
              <w:rPr>
                <w:sz w:val="36"/>
                <w:szCs w:val="36"/>
              </w:rPr>
            </w:pPr>
            <w:r>
              <w:rPr>
                <w:bCs/>
                <w:szCs w:val="28"/>
              </w:rPr>
              <w:t xml:space="preserve">3. </w:t>
            </w:r>
            <w:r>
              <w:rPr>
                <w:rFonts w:eastAsia="楷体_GB2312"/>
                <w:b/>
                <w:bCs/>
                <w:szCs w:val="28"/>
              </w:rPr>
              <w:t>乡村振兴人才培育工程。</w:t>
            </w:r>
            <w:r>
              <w:rPr>
                <w:szCs w:val="28"/>
              </w:rPr>
              <w:t>实施“徽农之星”乡村人才培养计划，培养服务乡村的优秀农业科技人才、管理人才和农村实用人才。实施农村产业发展带头人培育计划，培育农村产业发展带头人150人。实施农村实用人才带头人能力提升计划，培训学员100人次。实施农业技能人才技能等级提升计划，开展职业技能培训及技能等级认定400人次。</w:t>
            </w:r>
          </w:p>
        </w:tc>
      </w:tr>
    </w:tbl>
    <w:p w14:paraId="13BE63EC">
      <w:pPr>
        <w:ind w:firstLine="640"/>
        <w:sectPr>
          <w:pgSz w:w="11906" w:h="16838"/>
          <w:pgMar w:top="1871" w:right="1588" w:bottom="1588" w:left="1588" w:header="1134" w:footer="907" w:gutter="0"/>
          <w:cols w:space="720" w:num="1"/>
          <w:docGrid w:type="linesAndChars" w:linePitch="445" w:charSpace="-1472"/>
        </w:sectPr>
      </w:pPr>
    </w:p>
    <w:p w14:paraId="4BE5AD9F">
      <w:pPr>
        <w:pStyle w:val="2"/>
        <w:spacing w:before="0" w:beforeAutospacing="0" w:afterLines="50" w:afterAutospacing="0" w:line="600" w:lineRule="exact"/>
        <w:jc w:val="center"/>
        <w:rPr>
          <w:rFonts w:ascii="Times New Roman" w:hAnsi="Times New Roman" w:eastAsia="方正小标宋简体"/>
          <w:b w:val="0"/>
          <w:sz w:val="36"/>
          <w:szCs w:val="36"/>
        </w:rPr>
      </w:pPr>
      <w:bookmarkStart w:id="301" w:name="_Toc97033780"/>
      <w:bookmarkStart w:id="302" w:name="_Toc4791"/>
      <w:bookmarkStart w:id="303" w:name="_Toc22966"/>
      <w:bookmarkStart w:id="304" w:name="_Toc6401"/>
      <w:bookmarkStart w:id="305" w:name="_Toc32606"/>
      <w:bookmarkStart w:id="306" w:name="_Toc11379"/>
      <w:r>
        <w:rPr>
          <w:rFonts w:ascii="Times New Roman" w:hAnsi="Times New Roman" w:eastAsia="方正小标宋简体"/>
          <w:b w:val="0"/>
          <w:sz w:val="36"/>
          <w:szCs w:val="36"/>
        </w:rPr>
        <w:t>八、加快乡村建设，打造宜居宜业美丽乡村</w:t>
      </w:r>
      <w:bookmarkEnd w:id="301"/>
      <w:bookmarkEnd w:id="302"/>
      <w:bookmarkEnd w:id="303"/>
      <w:bookmarkEnd w:id="304"/>
      <w:bookmarkEnd w:id="305"/>
      <w:bookmarkEnd w:id="306"/>
    </w:p>
    <w:p w14:paraId="3C47E8AD">
      <w:pPr>
        <w:ind w:firstLine="640"/>
        <w:rPr>
          <w:szCs w:val="28"/>
        </w:rPr>
      </w:pPr>
      <w:r>
        <w:rPr>
          <w:szCs w:val="28"/>
        </w:rPr>
        <w:t>把乡村建设摆在社会主义现代化建设的重要位置，统筹城镇和村庄规划建设，推进城乡基础设施和基本公共服务制度并轨、标准统一，推进乡村治理能力和治理体系现代化，加快建设徽风皖韵、宜居宜业美丽乡村。</w:t>
      </w:r>
    </w:p>
    <w:p w14:paraId="590B2B45">
      <w:pPr>
        <w:pStyle w:val="3"/>
        <w:spacing w:beforeLines="50" w:afterLines="50" w:line="240" w:lineRule="auto"/>
        <w:ind w:firstLine="641"/>
        <w:jc w:val="left"/>
        <w:rPr>
          <w:rFonts w:ascii="Times New Roman" w:hAnsi="Times New Roman"/>
          <w:b w:val="0"/>
          <w:sz w:val="30"/>
          <w:szCs w:val="30"/>
        </w:rPr>
      </w:pPr>
      <w:bookmarkStart w:id="307" w:name="_Toc27400"/>
      <w:bookmarkStart w:id="308" w:name="_Toc14219"/>
      <w:bookmarkStart w:id="309" w:name="_Toc16242"/>
      <w:bookmarkStart w:id="310" w:name="_Toc97033781"/>
      <w:bookmarkStart w:id="311" w:name="_Toc20796"/>
      <w:bookmarkStart w:id="312" w:name="_Toc24321"/>
      <w:r>
        <w:rPr>
          <w:rFonts w:ascii="Times New Roman" w:hAnsi="Times New Roman"/>
          <w:b w:val="0"/>
          <w:sz w:val="30"/>
          <w:szCs w:val="30"/>
        </w:rPr>
        <w:t>（一）强化乡村建设规划引领</w:t>
      </w:r>
      <w:bookmarkEnd w:id="307"/>
      <w:bookmarkEnd w:id="308"/>
      <w:bookmarkEnd w:id="309"/>
      <w:bookmarkEnd w:id="310"/>
      <w:bookmarkEnd w:id="311"/>
      <w:bookmarkEnd w:id="312"/>
    </w:p>
    <w:p w14:paraId="3CC15064">
      <w:pPr>
        <w:ind w:firstLine="640"/>
        <w:rPr>
          <w:color w:val="000000"/>
          <w:szCs w:val="28"/>
        </w:rPr>
      </w:pPr>
      <w:r>
        <w:rPr>
          <w:color w:val="000000"/>
          <w:szCs w:val="28"/>
        </w:rPr>
        <w:t>推进集镇、村庄规划建设，统筹布局生态、农业、城镇等功能空间，科学划定各类空间管控边界，严格实行土地用途管制。按照宜居宜业要求，有序推进“多规合一”实用性村庄规划编制，本着立足现有基础，保留乡村特色风貌，不搞大拆大建的原则，力争到2023年时实现村庄规划应编尽编。结合G312沿线及新顺单沿淠区域环境提升整治、洼地治理和沿淠沿汲移民迁建等工程，分批分类型推进集聚提升类、城郊融合类、特色保护类、搬迁撤并类村庄建设，进一步优化村庄布局，推进集镇、村庄布局与生活人口分布的合理化，为农民住房资产化、“两基”投入效益最大化、生产生活便利化创造现实前提。加强农村宅基地和农民新建住房审批和管控，推进农村乱占耕地建房问题清理整治，坚决遏制农村乱占耕地违法建房行为。在充分尊重农民意愿并经村民会议同意的基础上，严格规范村庄撤并和集中建设。推进农房安全隐患排查整治。积极探索进城落户农民的宅基地自愿有偿退出机制。加强村庄风貌引导，保护传统村落、传统民居和历史文化名村名镇，积极申报创建国家和省级传统村落。</w:t>
      </w:r>
    </w:p>
    <w:p w14:paraId="28207968">
      <w:pPr>
        <w:pStyle w:val="3"/>
        <w:spacing w:beforeLines="50" w:afterLines="50" w:line="240" w:lineRule="auto"/>
        <w:ind w:firstLine="641"/>
        <w:jc w:val="left"/>
        <w:rPr>
          <w:rFonts w:ascii="Times New Roman" w:hAnsi="Times New Roman"/>
          <w:b w:val="0"/>
          <w:sz w:val="30"/>
          <w:szCs w:val="30"/>
        </w:rPr>
      </w:pPr>
      <w:bookmarkStart w:id="313" w:name="_Toc23983"/>
      <w:bookmarkStart w:id="314" w:name="_Toc233"/>
      <w:bookmarkStart w:id="315" w:name="_Toc24168"/>
      <w:bookmarkStart w:id="316" w:name="_Toc29097"/>
      <w:bookmarkStart w:id="317" w:name="_Toc21525"/>
      <w:bookmarkStart w:id="318" w:name="_Toc13091"/>
      <w:bookmarkStart w:id="319" w:name="_Toc25161"/>
      <w:bookmarkStart w:id="320" w:name="_Toc97033782"/>
      <w:r>
        <w:rPr>
          <w:rFonts w:ascii="Times New Roman" w:hAnsi="Times New Roman"/>
          <w:b w:val="0"/>
          <w:sz w:val="30"/>
          <w:szCs w:val="30"/>
        </w:rPr>
        <w:t>（二）加强农村基础设施</w:t>
      </w:r>
      <w:bookmarkEnd w:id="313"/>
      <w:bookmarkEnd w:id="314"/>
      <w:r>
        <w:rPr>
          <w:rFonts w:ascii="Times New Roman" w:hAnsi="Times New Roman"/>
          <w:b w:val="0"/>
          <w:sz w:val="30"/>
          <w:szCs w:val="30"/>
        </w:rPr>
        <w:t>建设</w:t>
      </w:r>
      <w:bookmarkEnd w:id="315"/>
      <w:bookmarkEnd w:id="316"/>
      <w:bookmarkEnd w:id="317"/>
      <w:bookmarkEnd w:id="318"/>
      <w:bookmarkEnd w:id="319"/>
      <w:bookmarkEnd w:id="320"/>
    </w:p>
    <w:p w14:paraId="091883D7">
      <w:pPr>
        <w:ind w:firstLine="643"/>
        <w:rPr>
          <w:kern w:val="0"/>
          <w:szCs w:val="28"/>
        </w:rPr>
      </w:pPr>
      <w:r>
        <w:rPr>
          <w:rFonts w:eastAsia="楷体_GB2312"/>
          <w:b/>
          <w:bCs/>
          <w:kern w:val="0"/>
          <w:szCs w:val="28"/>
        </w:rPr>
        <w:t>推进农村交通现代化。</w:t>
      </w:r>
      <w:r>
        <w:rPr>
          <w:kern w:val="0"/>
          <w:szCs w:val="28"/>
        </w:rPr>
        <w:t>实施道路提质工程，有序推进建制村通双车道公路和较大人口规模自然村（组）通硬化路，推进农村公路建设项目更多向进村入户倾斜，谋划建设一批资源路、产业路、旅游路和联网路。推深做实路长制，积极开展农村公路养护示范创建。加强农村道路桥梁安全隐患排查，有序实施危桥改造，落实管养主体责任。</w:t>
      </w:r>
      <w:r>
        <w:rPr>
          <w:color w:val="000000"/>
          <w:szCs w:val="28"/>
          <w:lang w:val="zh-CN"/>
        </w:rPr>
        <w:t>加快城乡枢纽体系建设，推进城乡客运服务均等化，实现城镇客运班线与城市公交、镇村公交的紧密对接。</w:t>
      </w:r>
      <w:r>
        <w:rPr>
          <w:kern w:val="0"/>
          <w:szCs w:val="28"/>
        </w:rPr>
        <w:t>深化交旅融合发展，增强客运枢纽、服务区等交通设施旅游服务功能，加快旅游公路建设，推进交旅融合发展试点。</w:t>
      </w:r>
      <w:r>
        <w:rPr>
          <w:color w:val="000000"/>
          <w:szCs w:val="28"/>
        </w:rPr>
        <w:t>围绕“建好、管好、护好、运营好”四好农村路的要求，不断提升农村公路安全和畅通水平。</w:t>
      </w:r>
    </w:p>
    <w:p w14:paraId="14ED4BA5">
      <w:pPr>
        <w:ind w:firstLine="643"/>
        <w:rPr>
          <w:szCs w:val="28"/>
        </w:rPr>
      </w:pPr>
      <w:r>
        <w:rPr>
          <w:rFonts w:eastAsia="楷体_GB2312"/>
          <w:b/>
          <w:bCs/>
          <w:szCs w:val="28"/>
        </w:rPr>
        <w:t>推进农村水利现代化。</w:t>
      </w:r>
      <w:r>
        <w:rPr>
          <w:szCs w:val="28"/>
        </w:rPr>
        <w:t>加快推进城东湖行蓄洪区居民迁建工程和美丽固镇水利建设工程，实施中小河流治理、小水库提升工程、中型水闸重建及除险加固工程、重点排涝沟治理工程和保庄圩安全建设，实现主要河段、水库、重要圩口防洪标准达20年一遇，力争蓄洪区内保庄圩防洪标准提高至50年一遇。加强山洪沟和排涝沟整治，重点山洪沟排涝沟防洪标准达10年一遇，山洪灾害影响显著减轻。大力发展智慧水利，利用云计算、大数据、物联网等先进技术，聚焦防汛抗旱、水工程安全运行、水工程建设、水资源开发利用、城乡供水、节水、河库及水土流失监测、水利监督等水利信息化业务需求，整合现有水利信息资源，深化水利信息资源开发利用与共享。加强水文监测站网、水资源监控管理系统、水库大坝安全监测监督平台、山洪灾害监测预警系统、水利信息网络安全建设，构建现代化的智慧水利管理平台。</w:t>
      </w:r>
    </w:p>
    <w:p w14:paraId="7325B539">
      <w:pPr>
        <w:ind w:firstLine="643"/>
        <w:rPr>
          <w:szCs w:val="28"/>
        </w:rPr>
      </w:pPr>
      <w:r>
        <w:rPr>
          <w:rFonts w:eastAsia="楷体_GB2312"/>
          <w:b/>
          <w:bCs/>
          <w:szCs w:val="28"/>
        </w:rPr>
        <w:t>提升农村能源保障能力。</w:t>
      </w:r>
      <w:r>
        <w:rPr>
          <w:szCs w:val="28"/>
        </w:rPr>
        <w:t>加快补齐农村电网短板，优先安排山区电网改造升级投资和建设项目。全面提升农村电网整体水平，进一步缩短农网供电半径，加快新增变电站布点，提升乡镇电源变电站覆盖率。实施乡村供气民生工程，有序推进天然气下乡，在有条件的乡村推动居民生活、公共服务、小型工商业等领域天然气利用，采用管道、独立供气、CNG等方式，打通农村天然气利用的“最后一公里”。积极发展农村生物质能源，推动能源清洁低碳安全高效利用，开展绿色能源小镇建设试点。引导农村用能清洁化，积极采用太阳能、生物质能等可再生能源解决农业农村生产生活用能需求，在农业废弃物、畜禽废弃物资源富集地区，建设农村生物天然气和沼气等燃料清洁化工程。</w:t>
      </w:r>
    </w:p>
    <w:p w14:paraId="0C1FF822">
      <w:pPr>
        <w:ind w:firstLine="643"/>
        <w:rPr>
          <w:szCs w:val="28"/>
        </w:rPr>
      </w:pPr>
      <w:r>
        <w:rPr>
          <w:rFonts w:eastAsia="楷体_GB2312"/>
          <w:b/>
          <w:bCs/>
          <w:szCs w:val="28"/>
        </w:rPr>
        <w:t>完善数字乡村新基建。</w:t>
      </w:r>
      <w:r>
        <w:rPr>
          <w:szCs w:val="28"/>
        </w:rPr>
        <w:t>持续实施农村新一代信息基础设施建设行动，引导电信运营商加大农村网络建设投入和布局，推动农村千兆光网、第五代移动通信、移动物联网与城市同步规划建设。完善电信普遍服务补偿机制，支持农村及偏远地区信息通信基础设施建设。全面推进信息进村入户工程，提升益农信息社覆盖率和服务能力，创建一批数字乡村示范村镇，逐步缩小城乡数字鸿沟。建立健全空间化、智能化的新型农村统计信息综合服务体系。协同推进网络安全工作，确保信息系统网络运行安全、重要数据安全和公民个人信息安全。</w:t>
      </w:r>
    </w:p>
    <w:p w14:paraId="3628995C">
      <w:pPr>
        <w:pStyle w:val="3"/>
        <w:spacing w:beforeLines="50" w:afterLines="50" w:line="240" w:lineRule="auto"/>
        <w:ind w:firstLine="641"/>
        <w:jc w:val="left"/>
        <w:rPr>
          <w:rFonts w:ascii="Times New Roman" w:hAnsi="Times New Roman"/>
          <w:b w:val="0"/>
          <w:sz w:val="30"/>
          <w:szCs w:val="30"/>
        </w:rPr>
      </w:pPr>
      <w:bookmarkStart w:id="321" w:name="_Toc23288"/>
      <w:bookmarkStart w:id="322" w:name="_Toc32558"/>
      <w:bookmarkStart w:id="323" w:name="_Toc13011"/>
      <w:bookmarkStart w:id="324" w:name="_Toc7317"/>
      <w:bookmarkStart w:id="325" w:name="_Toc28757"/>
      <w:bookmarkStart w:id="326" w:name="_Toc97033783"/>
      <w:bookmarkStart w:id="327" w:name="_Toc23516"/>
      <w:r>
        <w:rPr>
          <w:rFonts w:ascii="Times New Roman" w:hAnsi="Times New Roman"/>
          <w:b w:val="0"/>
          <w:sz w:val="30"/>
          <w:szCs w:val="30"/>
        </w:rPr>
        <w:t>（三）提升农村公共服务水平</w:t>
      </w:r>
      <w:bookmarkEnd w:id="321"/>
      <w:bookmarkEnd w:id="322"/>
      <w:bookmarkEnd w:id="323"/>
      <w:bookmarkEnd w:id="324"/>
      <w:bookmarkEnd w:id="325"/>
      <w:bookmarkEnd w:id="326"/>
      <w:bookmarkEnd w:id="327"/>
    </w:p>
    <w:p w14:paraId="6C0281A5">
      <w:pPr>
        <w:ind w:firstLine="643"/>
        <w:rPr>
          <w:szCs w:val="28"/>
        </w:rPr>
      </w:pPr>
      <w:r>
        <w:rPr>
          <w:rFonts w:eastAsia="楷体_GB2312"/>
          <w:b/>
          <w:bCs/>
          <w:szCs w:val="28"/>
        </w:rPr>
        <w:t>优先发展农村教育事业。</w:t>
      </w:r>
      <w:r>
        <w:rPr>
          <w:szCs w:val="28"/>
        </w:rPr>
        <w:t>推动义务教育均衡发展和城乡一体化，科学规划中小学整体布局，加强农村教学点和寄宿制学校建设。加快发展公办幼儿园和普惠性幼儿园，鼓励优质公办幼儿园举办分园或合作办园，支持企事业单位、街道、农村集体举办幼儿园，认定一批普惠性民办园，继续完善三级学前教育网络，到2025年学前三年入园率达到93%。推进新一轮中小学办学条件标准化、现代化建设和教育集团建设，全面改善薄弱学校办学条件，全面推进智慧学校建设，努力扩大优质教育覆盖面。全面实施中小学教师“区管校聘”管理改革，支持建设城乡学校共同体。完善农村特殊教育保障机制。大力开展耕读教育。加快发展面向乡村的网络教育。</w:t>
      </w:r>
    </w:p>
    <w:p w14:paraId="3B78E1AF">
      <w:pPr>
        <w:pStyle w:val="7"/>
        <w:spacing w:after="0"/>
        <w:ind w:firstLine="643"/>
        <w:rPr>
          <w:szCs w:val="28"/>
        </w:rPr>
      </w:pPr>
      <w:r>
        <w:rPr>
          <w:rFonts w:eastAsia="楷体_GB2312"/>
          <w:b/>
          <w:bCs/>
          <w:szCs w:val="28"/>
        </w:rPr>
        <w:t>全面推进健康乡村建设。</w:t>
      </w:r>
      <w:r>
        <w:rPr>
          <w:szCs w:val="28"/>
        </w:rPr>
        <w:t>建立城乡一体化公共卫生应急管理和服务体系，完善突发公共卫生事件监测预警处置机制，加强公共卫生防疫基础设施建设，加快补齐乡镇卫生院公共卫生服务设施短板。持续推进城市紧密型医联体建设，完善分级诊疗制度，建立覆盖城乡的基本医疗服务体系。加强区中医院建设，持续提升区级疾控机构应对重大疫情及突发公共卫生事件能力。加快推进镇中心卫生院建设，力争到2025年将3到4所乡镇中心卫生院建成二级综合医院。推动城市优质医疗资源下沉，加大要素保障力度，提升基层医疗服务水平。实施村卫生室标准化建设工程，提升村卫生室标准化建设和健康管理水平，推动乡村医生向执业（助理）医师转变。加强妇幼、老年人、残疾人等重点人群健康服务。探索与长三角地区优质医院开展结对共建、人才交流、科研合作。</w:t>
      </w:r>
    </w:p>
    <w:p w14:paraId="7C052745">
      <w:pPr>
        <w:ind w:firstLine="643"/>
        <w:rPr>
          <w:szCs w:val="28"/>
        </w:rPr>
      </w:pPr>
      <w:r>
        <w:rPr>
          <w:rFonts w:eastAsia="楷体_GB2312"/>
          <w:b/>
          <w:bCs/>
          <w:kern w:val="0"/>
          <w:szCs w:val="28"/>
        </w:rPr>
        <w:t>提升农村养老服务能力。</w:t>
      </w:r>
      <w:r>
        <w:rPr>
          <w:szCs w:val="28"/>
        </w:rPr>
        <w:t>优化完善乡村养老服务供给，发展普惠型养老服务和互助性养老服务，推动养老事业和养老产业协同发展。实施农村特困供养机构改造提升工程，持续优化调整农村特困供养机构布局。完善农村留守老年人关爱服务工作机制，加快补齐农村养老服务短板。实施养老机构管理服务水平提升三年行动，大力发展社区居家养老，扩大社区居家养老康养中心建设范围，加强社区养老基础设施建设，增加普惠性、护理型养老床位供给，持续完善居家为基础、社区为依托、机构为补充、医养相结合的养老服务体系，健全养老服务综合监管制度。加快智慧养老发展，加强智慧养老服务。加强农村公益性殡葬设施建设管理，改造升级农村公共墓地和集中埋葬点。</w:t>
      </w:r>
    </w:p>
    <w:p w14:paraId="0339833F">
      <w:pPr>
        <w:ind w:firstLine="643"/>
        <w:rPr>
          <w:szCs w:val="28"/>
        </w:rPr>
      </w:pPr>
      <w:r>
        <w:rPr>
          <w:rFonts w:eastAsia="楷体_GB2312"/>
          <w:b/>
          <w:bCs/>
          <w:szCs w:val="28"/>
        </w:rPr>
        <w:t>健全农村社会保障和救助体系。</w:t>
      </w:r>
      <w:r>
        <w:rPr>
          <w:szCs w:val="28"/>
        </w:rPr>
        <w:t>健全统筹城乡的就业政策和服务体系，推动公共就业服务机构向乡村延伸。完善城乡居民基本医疗保险制度和大病保险制度，统一城乡居民</w:t>
      </w:r>
      <w:r>
        <w:rPr>
          <w:rFonts w:hint="eastAsia"/>
          <w:szCs w:val="28"/>
          <w:lang w:val="en-US" w:eastAsia="zh-CN"/>
        </w:rPr>
        <w:t>基本</w:t>
      </w:r>
      <w:r>
        <w:rPr>
          <w:szCs w:val="28"/>
        </w:rPr>
        <w:t>医疗保险筹资标准和保障水平，巩固城乡居民医保异地就医联网直接结算。完善基本医疗保险、大病保险、医疗救助衔接机制，着力减轻农村重特大疾病患者政策范围内的医疗费用负担。建立农村低保标准动态调整机制。协同推进长三角区域基本民生兜底保障一体化。完善被征地农民社会保障制度，保障被征地农民的基本权益。</w:t>
      </w:r>
      <w:bookmarkStart w:id="486" w:name="_GoBack"/>
      <w:r>
        <w:rPr>
          <w:szCs w:val="28"/>
        </w:rPr>
        <w:t>创新关爱服务模式，引导社会工作人才和志愿者积极参与，为农村留守儿</w:t>
      </w:r>
      <w:bookmarkEnd w:id="486"/>
      <w:r>
        <w:rPr>
          <w:szCs w:val="28"/>
        </w:rPr>
        <w:t>童、妇女、老年人等“三留守”人员提供关爱服务。加强和改善农村残疾人服务，落实困难残疾人生活补贴、重度残疾人护理补贴和残疾儿童康复救助政策。</w:t>
      </w:r>
    </w:p>
    <w:p w14:paraId="44E2B119">
      <w:pPr>
        <w:pStyle w:val="3"/>
        <w:spacing w:beforeLines="50" w:afterLines="50" w:line="240" w:lineRule="auto"/>
        <w:ind w:firstLine="641"/>
        <w:jc w:val="left"/>
        <w:rPr>
          <w:rFonts w:ascii="Times New Roman" w:hAnsi="Times New Roman"/>
          <w:b w:val="0"/>
          <w:sz w:val="30"/>
          <w:szCs w:val="30"/>
        </w:rPr>
      </w:pPr>
      <w:bookmarkStart w:id="328" w:name="_Toc11448"/>
      <w:bookmarkStart w:id="329" w:name="_Toc27605"/>
      <w:bookmarkStart w:id="330" w:name="_Toc27435"/>
      <w:bookmarkStart w:id="331" w:name="_Toc1091"/>
      <w:bookmarkStart w:id="332" w:name="_Toc1828"/>
      <w:bookmarkStart w:id="333" w:name="_Toc97033784"/>
      <w:r>
        <w:rPr>
          <w:rFonts w:ascii="Times New Roman" w:hAnsi="Times New Roman"/>
          <w:b w:val="0"/>
          <w:sz w:val="30"/>
          <w:szCs w:val="30"/>
        </w:rPr>
        <w:t>（四）建设更高水平美丽乡村</w:t>
      </w:r>
      <w:bookmarkEnd w:id="328"/>
      <w:bookmarkEnd w:id="329"/>
      <w:bookmarkEnd w:id="330"/>
      <w:bookmarkEnd w:id="331"/>
      <w:bookmarkEnd w:id="332"/>
      <w:bookmarkEnd w:id="333"/>
    </w:p>
    <w:p w14:paraId="495E4DBE">
      <w:pPr>
        <w:ind w:firstLine="640"/>
        <w:rPr>
          <w:szCs w:val="28"/>
        </w:rPr>
      </w:pPr>
      <w:r>
        <w:rPr>
          <w:szCs w:val="28"/>
        </w:rPr>
        <w:t>实施农村人居环境整治提升五年行动，全面改善农村人居环境。科学选择改厕模式，合理制定改厕目标任务和推进方案，重点对不能纳入管网集中收集处置系统的自然村常住农户实施卫生厕所改造，人口规模较大村庄配套建设公共厕所，加强改厕与农村生活污水治理有效衔接。完善“户收集、村集中、镇转运、区处理”的农村生活垃圾收运处置体系。按照“减量优先、鼓励分类、城乡统筹、综合治理”的原则，推行适合农村特点的垃圾就地分类和资源化利用方式，鼓励推进城乡垃圾一体化处理。加快实施中心村新建生活污水处理设施及配套管网建设项目，逐步消除农村黑臭水体，努力打造“水清、河畅、岸绿、景美”的村庄水环境。到2025年，完成19个乡镇277个村（居）人居环境综合整治提升。突出乡土特色和地域特点，开展农房及院落风貌整治和村庄绿化美化，提高农房设计水平和建设质量，加大传统村落民居和历史文化名村名镇保护、修复力度，打造茶谷山水、淠河湿地、诗画田园等特色乡村风貌，到2025年，全区美丽乡村中心村建设实现全覆盖。</w:t>
      </w:r>
    </w:p>
    <w:p w14:paraId="4BE6FC51">
      <w:pPr>
        <w:pStyle w:val="3"/>
        <w:spacing w:beforeLines="50" w:afterLines="50" w:line="240" w:lineRule="auto"/>
        <w:ind w:firstLine="641"/>
        <w:jc w:val="left"/>
        <w:rPr>
          <w:rFonts w:ascii="Times New Roman" w:hAnsi="Times New Roman"/>
          <w:b w:val="0"/>
          <w:sz w:val="30"/>
          <w:szCs w:val="30"/>
        </w:rPr>
      </w:pPr>
      <w:bookmarkStart w:id="334" w:name="_Toc1795"/>
      <w:bookmarkStart w:id="335" w:name="_Toc117"/>
      <w:bookmarkStart w:id="336" w:name="_Toc18740"/>
      <w:bookmarkStart w:id="337" w:name="_Toc97033785"/>
      <w:bookmarkStart w:id="338" w:name="_Toc11952"/>
      <w:bookmarkStart w:id="339" w:name="_Toc16343"/>
      <w:bookmarkStart w:id="340" w:name="_Toc9473"/>
      <w:bookmarkStart w:id="341" w:name="_Toc29996"/>
      <w:r>
        <w:rPr>
          <w:rFonts w:ascii="Times New Roman" w:hAnsi="Times New Roman"/>
          <w:b w:val="0"/>
          <w:sz w:val="30"/>
          <w:szCs w:val="30"/>
        </w:rPr>
        <w:t>（五）推进乡村治理现代化</w:t>
      </w:r>
      <w:bookmarkEnd w:id="334"/>
      <w:bookmarkEnd w:id="335"/>
      <w:bookmarkEnd w:id="336"/>
      <w:bookmarkEnd w:id="337"/>
      <w:bookmarkEnd w:id="338"/>
      <w:bookmarkEnd w:id="339"/>
      <w:bookmarkEnd w:id="340"/>
      <w:bookmarkEnd w:id="341"/>
    </w:p>
    <w:p w14:paraId="2659C473">
      <w:pPr>
        <w:ind w:firstLine="643"/>
        <w:rPr>
          <w:szCs w:val="28"/>
        </w:rPr>
      </w:pPr>
      <w:r>
        <w:rPr>
          <w:rFonts w:eastAsia="楷体_GB2312"/>
          <w:b/>
          <w:bCs/>
          <w:szCs w:val="28"/>
        </w:rPr>
        <w:t>加强农村基层党组织建设。</w:t>
      </w:r>
      <w:r>
        <w:rPr>
          <w:szCs w:val="28"/>
        </w:rPr>
        <w:t>选优配强村“两委”班子，特别是村党组织书记。实施村党组织带头人整体优化提升行动，举办新任村党组织书记培训班，完善村干部管理考核办法，督促村干部履职尽责。创新农村基层党组织设置和活动方式。实施党支部建设提升行动，持续整顿软弱涣散村党组织。实施农村基层党组织标准化示范工程，打造一批可学习、可借鉴、可推广的农村基层党组织先进典型。加强农村党员队伍建设，注重从青年农民、外出务工人员、妇女中发展党员，提高农村党员发展质量。</w:t>
      </w:r>
    </w:p>
    <w:p w14:paraId="368BE337">
      <w:pPr>
        <w:ind w:firstLine="643"/>
        <w:rPr>
          <w:szCs w:val="28"/>
        </w:rPr>
      </w:pPr>
      <w:r>
        <w:rPr>
          <w:rFonts w:eastAsia="楷体_GB2312"/>
          <w:b/>
          <w:bCs/>
          <w:szCs w:val="28"/>
        </w:rPr>
        <w:t>促进自治法治德治有机结合。</w:t>
      </w:r>
      <w:r>
        <w:rPr>
          <w:szCs w:val="28"/>
        </w:rPr>
        <w:t>扎实推进“自治乡村”建设，完善村民自治组织民主制度，规范村民委员会等自治组织选举办法，有序产生村（居）民委员会及其下属组织、群众性组织，推行村级事务阳光工程。实施农村学法用法示范户培育行动，加强《宪法》《民法典》《土地管理法》《乡村振兴促进法》等法律法规的宣传教育，增强广大干部群众学法守法用法意识，维护农民群众的切身利益，到2025年实现每个行政村都有学法用法示范户。推动执法队伍整合、执法力量下沉，提高执法能力和水平。加强乡村人民调解组织建设。健全农村公共法律服务体系，加强对农民的法律援助、司法救助和公益法律服务。深入挖掘乡村熟人社会蕴含的道德力量，积极选树培育新乡贤，大力弘扬优秀家风家训，广泛开展最美人物、身边好人等各类先进典型评选活动，以榜样力量引领新风正气，引导农民自我管理、自我教育、自我服务、自我提高。</w:t>
      </w:r>
    </w:p>
    <w:p w14:paraId="28B5EAEA">
      <w:pPr>
        <w:ind w:firstLine="643"/>
      </w:pPr>
      <w:r>
        <w:rPr>
          <w:rFonts w:eastAsia="楷体_GB2312"/>
          <w:b/>
          <w:bCs/>
          <w:szCs w:val="28"/>
        </w:rPr>
        <w:t>健全农村基层服务体系。</w:t>
      </w:r>
      <w:r>
        <w:rPr>
          <w:szCs w:val="28"/>
        </w:rPr>
        <w:t>大力加强村级社区服务中心（站）达标工程建设，推进农村基层服务规范化、标准化。建立健全村干部经济责任审计、任期述职、责任追究等制度，规范村级事务运行。把数字化作为加快推动城市优质资源下沉的重要切入口，推广数字教育、数字医疗、数字养老、数字金融、智慧气象等社会事业服务新模式，加强信息资源整合共享与利用，大力构建多样均等、高效便捷的智慧服务体系，提高乡村公共服务和社会治理效能。优化公共服务和行政审批职责，建立规范化“一门式办理”“一站式服务”的综合服务平台。积极发展农村社会工作和志愿服务，着力满足农民个性化、多样化需求。</w:t>
      </w:r>
    </w:p>
    <w:p w14:paraId="2208C26C">
      <w:pPr>
        <w:pStyle w:val="3"/>
        <w:spacing w:beforeLines="50" w:afterLines="50" w:line="240" w:lineRule="auto"/>
        <w:ind w:firstLine="641"/>
        <w:jc w:val="left"/>
        <w:rPr>
          <w:rFonts w:ascii="Times New Roman" w:hAnsi="Times New Roman"/>
          <w:b w:val="0"/>
          <w:sz w:val="30"/>
          <w:szCs w:val="30"/>
        </w:rPr>
      </w:pPr>
      <w:bookmarkStart w:id="342" w:name="_Toc97033786"/>
      <w:bookmarkStart w:id="343" w:name="_Toc1893"/>
      <w:bookmarkStart w:id="344" w:name="_Toc1655"/>
      <w:bookmarkStart w:id="345" w:name="_Toc32372"/>
      <w:bookmarkStart w:id="346" w:name="_Toc6799"/>
      <w:bookmarkStart w:id="347" w:name="_Toc31790"/>
      <w:bookmarkStart w:id="348" w:name="_Toc5755"/>
      <w:r>
        <w:rPr>
          <w:rFonts w:ascii="Times New Roman" w:hAnsi="Times New Roman"/>
          <w:b w:val="0"/>
          <w:sz w:val="30"/>
          <w:szCs w:val="30"/>
        </w:rPr>
        <w:t>（六）全面促进农村消费</w:t>
      </w:r>
      <w:bookmarkEnd w:id="342"/>
      <w:bookmarkEnd w:id="343"/>
      <w:bookmarkEnd w:id="344"/>
      <w:bookmarkEnd w:id="345"/>
      <w:bookmarkEnd w:id="346"/>
      <w:bookmarkEnd w:id="347"/>
      <w:bookmarkEnd w:id="348"/>
    </w:p>
    <w:p w14:paraId="030AF8ED">
      <w:pPr>
        <w:ind w:firstLine="640"/>
        <w:rPr>
          <w:szCs w:val="28"/>
        </w:rPr>
      </w:pPr>
      <w:r>
        <w:rPr>
          <w:szCs w:val="28"/>
        </w:rPr>
        <w:t>鼓励和支持新型消费业态向农村市场拓展，引导快销、食品、日化、金融等企业开发适合农村消费市场的产品，培育农村消费热点。鼓励开展汽车下乡、电器下乡、家装下乡、文化下乡等惠民消费活动。大力整治规范农村市场秩序，依法严厉打击假冒伪劣，价格欺诈等违法行为。鼓励引导大中型商贸、电商等企业加大农村设施网络布局，健全城乡物流配送体系。鼓励建设面向农村地区的共同配送中心，建立仓储配送中心和快递公共取送点，加快建设农村物流中心、镇（乡）综合运输服务站、村综合运输服务点，加快性覆盖区、乡、村三级的农村物流网络体系。加快完善农村物流基础设施末端网络建设，鼓励发展农村微物流，推广农村共享物流方式，实现农村物流到家到户。</w:t>
      </w:r>
    </w:p>
    <w:tbl>
      <w:tblPr>
        <w:tblStyle w:val="2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14:paraId="66C9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blHeader/>
        </w:trPr>
        <w:tc>
          <w:tcPr>
            <w:tcW w:w="9011" w:type="dxa"/>
            <w:vAlign w:val="center"/>
          </w:tcPr>
          <w:p w14:paraId="586CC59C">
            <w:pPr>
              <w:pStyle w:val="3"/>
              <w:spacing w:before="0" w:after="0" w:line="240" w:lineRule="auto"/>
              <w:jc w:val="center"/>
              <w:rPr>
                <w:rFonts w:ascii="Times New Roman" w:hAnsi="Times New Roman" w:eastAsia="楷体_GB2312"/>
                <w:szCs w:val="28"/>
              </w:rPr>
            </w:pPr>
            <w:bookmarkStart w:id="349" w:name="_Toc8395"/>
            <w:bookmarkStart w:id="350" w:name="_Toc4802"/>
            <w:bookmarkStart w:id="351" w:name="_Toc31010"/>
            <w:bookmarkStart w:id="352" w:name="_Toc21321"/>
            <w:bookmarkStart w:id="353" w:name="_Toc14396"/>
            <w:bookmarkStart w:id="354" w:name="_Toc97033787"/>
            <w:r>
              <w:rPr>
                <w:rFonts w:ascii="Times New Roman" w:hAnsi="Times New Roman"/>
                <w:sz w:val="28"/>
                <w:szCs w:val="28"/>
              </w:rPr>
              <w:t>专栏6 乡村建设行动</w:t>
            </w:r>
            <w:bookmarkEnd w:id="349"/>
            <w:bookmarkEnd w:id="350"/>
            <w:bookmarkEnd w:id="351"/>
            <w:bookmarkEnd w:id="352"/>
            <w:bookmarkEnd w:id="353"/>
            <w:bookmarkEnd w:id="354"/>
          </w:p>
        </w:tc>
      </w:tr>
      <w:tr w14:paraId="01B2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011" w:type="dxa"/>
          </w:tcPr>
          <w:p w14:paraId="08645F69">
            <w:pPr>
              <w:ind w:firstLine="562"/>
              <w:rPr>
                <w:szCs w:val="28"/>
              </w:rPr>
            </w:pPr>
            <w:r>
              <w:rPr>
                <w:bCs/>
                <w:szCs w:val="28"/>
              </w:rPr>
              <w:t xml:space="preserve">1. </w:t>
            </w:r>
            <w:r>
              <w:rPr>
                <w:rFonts w:eastAsia="楷体_GB2312"/>
                <w:b/>
                <w:bCs/>
                <w:szCs w:val="28"/>
              </w:rPr>
              <w:t>城乡一体交通运输体系建设。</w:t>
            </w:r>
            <w:r>
              <w:rPr>
                <w:szCs w:val="28"/>
              </w:rPr>
              <w:t>到2025年，提升改造区乡道路300公里，完成1000公里村道路建设，新建和改造桥梁80座。推进乡镇物流节点建设，建设17个乡镇级农村物流站，263个村级农村物流服务点，建设农村交通运输综合信息服务平台。</w:t>
            </w:r>
          </w:p>
          <w:p w14:paraId="5A9913CF">
            <w:pPr>
              <w:ind w:firstLine="562"/>
              <w:rPr>
                <w:szCs w:val="28"/>
              </w:rPr>
            </w:pPr>
            <w:r>
              <w:rPr>
                <w:bCs/>
                <w:szCs w:val="28"/>
              </w:rPr>
              <w:t xml:space="preserve">2. </w:t>
            </w:r>
            <w:r>
              <w:rPr>
                <w:rFonts w:eastAsia="楷体_GB2312"/>
                <w:b/>
                <w:bCs/>
                <w:szCs w:val="28"/>
              </w:rPr>
              <w:t>城乡一体水利基础设施建设。</w:t>
            </w:r>
            <w:r>
              <w:rPr>
                <w:szCs w:val="28"/>
              </w:rPr>
              <w:t>推进淮河流域重要行蓄洪区建设、易涝洼地移民迁建、洼地治理、淠河治理、河道疏浚、中小河流治理等工程建设，新扩建桃花岗和车渡口两座小型水库工程，完善小水库、中型水闸重建及除险加固，加强重点排涝沟及山洪沟治理，推进石婆店镇沙家湾水库、西河口乡龙门冲水库、独山镇龙井湖水库建设。强化城乡饮水安全，建成裕安第二自来水厂和东北部城乡供水一体化工程，形成区域供水规模化，实现裕安水厂、二水厂、东北部城乡供水一体化工程联通，西河口水厂、独山水厂连接。实施乡镇水厂提升改造工程。加快推进裕安第二自来水厂响洪甸水库引水工程前期工作。</w:t>
            </w:r>
          </w:p>
          <w:p w14:paraId="1C361081">
            <w:pPr>
              <w:ind w:firstLine="562"/>
              <w:rPr>
                <w:szCs w:val="28"/>
              </w:rPr>
            </w:pPr>
            <w:r>
              <w:rPr>
                <w:bCs/>
                <w:szCs w:val="28"/>
              </w:rPr>
              <w:t xml:space="preserve">3. </w:t>
            </w:r>
            <w:r>
              <w:rPr>
                <w:rFonts w:eastAsia="楷体_GB2312"/>
                <w:b/>
                <w:bCs/>
                <w:szCs w:val="28"/>
              </w:rPr>
              <w:t>城乡一体能源保障体系建设。</w:t>
            </w:r>
            <w:r>
              <w:rPr>
                <w:szCs w:val="28"/>
              </w:rPr>
              <w:t>推进农村电网改造项目，实施丁集、石板冲乡农村电网改造项目，开展电路改造、配电增容等。实施乡镇管道天然气南北片区工程，在北部片区建设江家店-罗集、罗集-丁集、丁集-固镇、丁集-单王、丁集-顺河中压连接管线，在南部片区建设狮子岗-独山、狮子岗-石婆店、独山-石板冲、石板冲-青山、独山-西河口中压连接管线，加强南北片区输配系统互联互通。推进新能源和可再生能源发展，在丁集镇和罗集乡等合适乡镇建设风力发电项目。在苏埠、韩摆渡、分路口、石板冲建设光伏发电项目。</w:t>
            </w:r>
          </w:p>
          <w:p w14:paraId="768D4B2B">
            <w:pPr>
              <w:ind w:firstLine="562"/>
              <w:rPr>
                <w:szCs w:val="28"/>
              </w:rPr>
            </w:pPr>
            <w:r>
              <w:rPr>
                <w:bCs/>
                <w:szCs w:val="28"/>
              </w:rPr>
              <w:t xml:space="preserve">4. </w:t>
            </w:r>
            <w:r>
              <w:rPr>
                <w:rFonts w:eastAsia="楷体_GB2312"/>
                <w:b/>
                <w:bCs/>
                <w:szCs w:val="28"/>
              </w:rPr>
              <w:t>城乡一体公共服务体系建设。</w:t>
            </w:r>
            <w:r>
              <w:rPr>
                <w:szCs w:val="28"/>
              </w:rPr>
              <w:t>建设一批公办幼儿园，改造提升现有农村幼儿园。实施义务教育提升工程、高中改善办学条件工程、智慧学校工程，新建、改扩建一批义务阶段和高中学校。新建丁集、西河口、分路口、新安4个乡镇卫生院。提升基层公共卫生应急和服务能力，建设乡镇卫生院规范化发热预检门诊、两所区域医学检验中心等。建立区乡互联互通的医疗、公共卫生信息化平台（包括远程医疗、智慧医疗、慧医助理等功能），覆盖包括村卫生室在内的全区各卫生单位，包括村卫生室。</w:t>
            </w:r>
          </w:p>
          <w:p w14:paraId="53C9EC00">
            <w:pPr>
              <w:ind w:firstLine="562"/>
              <w:rPr>
                <w:szCs w:val="28"/>
              </w:rPr>
            </w:pPr>
            <w:r>
              <w:rPr>
                <w:bCs/>
                <w:szCs w:val="28"/>
              </w:rPr>
              <w:t xml:space="preserve">5. </w:t>
            </w:r>
            <w:r>
              <w:rPr>
                <w:rFonts w:eastAsia="楷体_GB2312"/>
                <w:b/>
                <w:bCs/>
                <w:szCs w:val="28"/>
              </w:rPr>
              <w:t>农村人居环境整治提升行动。</w:t>
            </w:r>
            <w:r>
              <w:rPr>
                <w:szCs w:val="28"/>
              </w:rPr>
              <w:t>深入开展“三大革命”，推进“三大行动”，实施“五清一改”，补短板、抓重点、促提升，以19个乡镇驻地和68个美丽乡村中心村为重点，全面改善乡村人居环境。到2025年，对生活垃圾和生活污水进行无害化处理率的村占比均达到85%，农村卫生厕所普及率达到85%。</w:t>
            </w:r>
          </w:p>
          <w:p w14:paraId="2EE69B37">
            <w:pPr>
              <w:ind w:firstLine="562"/>
              <w:rPr>
                <w:sz w:val="36"/>
                <w:szCs w:val="36"/>
              </w:rPr>
            </w:pPr>
          </w:p>
        </w:tc>
      </w:tr>
    </w:tbl>
    <w:p w14:paraId="2E1AE7BB">
      <w:pPr>
        <w:pStyle w:val="4"/>
        <w:ind w:left="546" w:firstLine="626"/>
        <w:sectPr>
          <w:pgSz w:w="11906" w:h="16838"/>
          <w:pgMar w:top="1871" w:right="1588" w:bottom="1588" w:left="1588" w:header="1134" w:footer="907" w:gutter="0"/>
          <w:cols w:space="720" w:num="1"/>
          <w:docGrid w:type="linesAndChars" w:linePitch="445" w:charSpace="-1472"/>
        </w:sectPr>
      </w:pPr>
    </w:p>
    <w:p w14:paraId="74904A65">
      <w:pPr>
        <w:pStyle w:val="2"/>
        <w:spacing w:before="312" w:after="312" w:line="600" w:lineRule="exact"/>
        <w:jc w:val="center"/>
        <w:rPr>
          <w:rFonts w:ascii="Times New Roman" w:hAnsi="Times New Roman" w:eastAsia="方正小标宋简体"/>
          <w:b w:val="0"/>
          <w:sz w:val="36"/>
          <w:szCs w:val="36"/>
        </w:rPr>
      </w:pPr>
      <w:bookmarkStart w:id="355" w:name="_Toc25285"/>
      <w:bookmarkStart w:id="356" w:name="_Toc97033788"/>
      <w:bookmarkStart w:id="357" w:name="_Toc16186"/>
      <w:bookmarkStart w:id="358" w:name="_Toc29245"/>
      <w:bookmarkStart w:id="359" w:name="_Toc32522"/>
      <w:bookmarkStart w:id="360" w:name="_Toc27687"/>
      <w:r>
        <w:rPr>
          <w:rFonts w:ascii="Times New Roman" w:hAnsi="Times New Roman" w:eastAsia="方正小标宋简体"/>
          <w:b w:val="0"/>
          <w:sz w:val="36"/>
          <w:szCs w:val="36"/>
        </w:rPr>
        <w:t>九、深化农村改革，提升城乡融合发展活力</w:t>
      </w:r>
      <w:bookmarkEnd w:id="355"/>
      <w:bookmarkEnd w:id="356"/>
      <w:bookmarkEnd w:id="357"/>
      <w:bookmarkEnd w:id="358"/>
      <w:bookmarkEnd w:id="359"/>
      <w:bookmarkEnd w:id="360"/>
    </w:p>
    <w:p w14:paraId="438414F9">
      <w:pPr>
        <w:ind w:firstLine="640"/>
        <w:rPr>
          <w:szCs w:val="28"/>
        </w:rPr>
      </w:pPr>
      <w:r>
        <w:rPr>
          <w:szCs w:val="28"/>
        </w:rPr>
        <w:t>大力弘扬改革创新精神，以更大力度推进新一轮农村改革，推动城乡要素平等交换、双向流动，为推进农业农村现代化和构建新发展格局提供强大动能。</w:t>
      </w:r>
    </w:p>
    <w:p w14:paraId="60509268">
      <w:pPr>
        <w:pStyle w:val="3"/>
        <w:spacing w:beforeLines="50" w:afterLines="50" w:line="240" w:lineRule="auto"/>
        <w:ind w:firstLine="641"/>
        <w:jc w:val="left"/>
        <w:rPr>
          <w:rFonts w:ascii="Times New Roman" w:hAnsi="Times New Roman"/>
          <w:b w:val="0"/>
          <w:sz w:val="30"/>
          <w:szCs w:val="30"/>
        </w:rPr>
      </w:pPr>
      <w:bookmarkStart w:id="361" w:name="_Toc1386"/>
      <w:bookmarkStart w:id="362" w:name="_Toc97033789"/>
      <w:bookmarkStart w:id="363" w:name="_Toc5092"/>
      <w:bookmarkStart w:id="364" w:name="_Toc24328"/>
      <w:bookmarkStart w:id="365" w:name="_Toc22829"/>
      <w:bookmarkStart w:id="366" w:name="_Toc10268"/>
      <w:r>
        <w:rPr>
          <w:rFonts w:ascii="Times New Roman" w:hAnsi="Times New Roman"/>
          <w:b w:val="0"/>
          <w:sz w:val="30"/>
          <w:szCs w:val="30"/>
        </w:rPr>
        <w:t>（一）完善农村基本经营制度</w:t>
      </w:r>
      <w:bookmarkEnd w:id="361"/>
      <w:bookmarkEnd w:id="362"/>
      <w:bookmarkEnd w:id="363"/>
      <w:bookmarkEnd w:id="364"/>
      <w:bookmarkEnd w:id="365"/>
      <w:bookmarkEnd w:id="366"/>
    </w:p>
    <w:p w14:paraId="0A5DA520">
      <w:pPr>
        <w:ind w:firstLine="640"/>
        <w:rPr>
          <w:szCs w:val="28"/>
        </w:rPr>
      </w:pPr>
      <w:r>
        <w:rPr>
          <w:szCs w:val="28"/>
        </w:rPr>
        <w:t>稳定和完善农村土地承包关系，加强土地承包关系稳定并长久不变政策的宣传，做好“长久不变”政策解读和业务培训，让农民群众真正了解政策、执行政策、遵守政策。积极开展第二轮土地承包到期后再延长三十年试点工作，努力在工作推进、实施程序以及政策措施等方面先行先试，探索衔接落实好第二轮土地承包到期后再延长30年的具体办法。深化农村土地“三权分置”改革，进一步放活土地经营权，丰富集体所有权、农户承包权、土地经营权的有效实现形式，发展多种形式适度规模经营。健全土地流转规范管理制度，规范土地经营权流转交易，加快农村产权交易市场建设。健全市场运行规则，提高交易服务水平，完善信息发布、产权交易、法律咨询、权益评估、抵押融资、纠纷调解等服务，探索建立农村承包土地经营权流转市场指导价格机制。加强流转合同管理，引导流转双方使用规范合同文本，提倡通过流转合同鉴证、交易鉴证等方式对土地经营权予以确认。完善工商资本租赁农地监管和风险防范机制，确保土地经营权规范有序流转。</w:t>
      </w:r>
    </w:p>
    <w:p w14:paraId="1DE2168D">
      <w:pPr>
        <w:pStyle w:val="3"/>
        <w:spacing w:beforeLines="50" w:afterLines="50" w:line="240" w:lineRule="auto"/>
        <w:ind w:firstLine="641"/>
        <w:jc w:val="left"/>
        <w:rPr>
          <w:rFonts w:ascii="Times New Roman" w:hAnsi="Times New Roman"/>
          <w:b w:val="0"/>
          <w:sz w:val="30"/>
          <w:szCs w:val="30"/>
        </w:rPr>
      </w:pPr>
      <w:bookmarkStart w:id="367" w:name="_Toc32036"/>
      <w:bookmarkStart w:id="368" w:name="_Toc18575"/>
      <w:bookmarkStart w:id="369" w:name="_Toc3584"/>
      <w:bookmarkStart w:id="370" w:name="_Toc25237"/>
      <w:bookmarkStart w:id="371" w:name="_Toc97033790"/>
      <w:bookmarkStart w:id="372" w:name="_Toc21138"/>
      <w:bookmarkStart w:id="373" w:name="_Toc21763"/>
      <w:bookmarkStart w:id="374" w:name="_Toc28285"/>
      <w:r>
        <w:rPr>
          <w:rFonts w:ascii="Times New Roman" w:hAnsi="Times New Roman"/>
          <w:b w:val="0"/>
          <w:sz w:val="30"/>
          <w:szCs w:val="30"/>
        </w:rPr>
        <w:t>（二）深化农村土地</w:t>
      </w:r>
      <w:bookmarkEnd w:id="367"/>
      <w:bookmarkEnd w:id="368"/>
      <w:r>
        <w:rPr>
          <w:rFonts w:ascii="Times New Roman" w:hAnsi="Times New Roman"/>
          <w:b w:val="0"/>
          <w:sz w:val="30"/>
          <w:szCs w:val="30"/>
        </w:rPr>
        <w:t>制度改革</w:t>
      </w:r>
      <w:bookmarkEnd w:id="369"/>
      <w:bookmarkEnd w:id="370"/>
      <w:bookmarkEnd w:id="371"/>
      <w:bookmarkEnd w:id="372"/>
      <w:bookmarkEnd w:id="373"/>
      <w:bookmarkEnd w:id="374"/>
    </w:p>
    <w:p w14:paraId="07AF8702">
      <w:pPr>
        <w:ind w:firstLine="640"/>
        <w:rPr>
          <w:szCs w:val="28"/>
        </w:rPr>
      </w:pPr>
      <w:r>
        <w:rPr>
          <w:szCs w:val="28"/>
        </w:rPr>
        <w:t>深化农村土地征收、集体经营性建设用地入市、农村宅基地制度改革试点，逐步扩大试点范围，实现全面覆盖、统筹推进、深度融合。探索具体用地项目公共利益认定机制，进一步完善征地民主协商程序，完善征地补偿标准，建立健全有效的征地补偿安置争议解决机制。积极探索实施农村集体经营性建设用地入市制度，赋予农村集体经营性建设用地出让、租赁、入股权能，明确入市范围和途径，加大城中村、城边村、村级工业园等可连片开发区域土地整治入市力度。在符合土地利用总体规划前提下，调整优化村庄用地布局，有效利用农村零星分散的存量建设用地。积极推进利用集体建设用地建设租赁住房试点，探索建立城乡统一的建设用地市场，增加住房有效供给。完善盘活农民闲置宅基地和闲置农房利用政策，实施宅基地所有权、资格权、使用权“三权分置”改革，落实宅基地集体所有权，保障宅基地农户资格权和农民房屋财产权，适度放活宅基地和农民房屋使用权。依法保障农民宅基地权益，改革农民住宅用地取得方式，探索宅基地资源有偿退出新机制。落实农民的宅基地使用权可以依法由城镇户籍的子女继承并办理不动产登记。支持集体经济组织以出租、联营、入股等方式，盘活利用空闲的宅基地及农房。严格实行土地用途管制，不得违规违法买卖宅基地，严格禁止利用农村宅基地建设别墅大院和私人会馆。</w:t>
      </w:r>
    </w:p>
    <w:p w14:paraId="4D5C8AA7">
      <w:pPr>
        <w:pStyle w:val="3"/>
        <w:spacing w:beforeLines="50" w:afterLines="50" w:line="240" w:lineRule="auto"/>
        <w:ind w:firstLine="641"/>
        <w:jc w:val="left"/>
        <w:rPr>
          <w:rFonts w:ascii="Times New Roman" w:hAnsi="Times New Roman"/>
          <w:b w:val="0"/>
          <w:sz w:val="30"/>
          <w:szCs w:val="30"/>
        </w:rPr>
      </w:pPr>
      <w:bookmarkStart w:id="375" w:name="_Toc4201"/>
      <w:bookmarkStart w:id="376" w:name="_Toc4843"/>
      <w:bookmarkStart w:id="377" w:name="_Toc16123"/>
      <w:bookmarkStart w:id="378" w:name="_Toc97033791"/>
      <w:bookmarkStart w:id="379" w:name="_Toc25711"/>
      <w:bookmarkStart w:id="380" w:name="_Toc7029"/>
      <w:r>
        <w:rPr>
          <w:rFonts w:ascii="Times New Roman" w:hAnsi="Times New Roman"/>
          <w:b w:val="0"/>
          <w:sz w:val="30"/>
          <w:szCs w:val="30"/>
        </w:rPr>
        <w:t>（三）提高农村“三变”改革质量</w:t>
      </w:r>
      <w:bookmarkEnd w:id="375"/>
      <w:bookmarkEnd w:id="376"/>
      <w:bookmarkEnd w:id="377"/>
      <w:bookmarkEnd w:id="378"/>
      <w:bookmarkEnd w:id="379"/>
      <w:bookmarkEnd w:id="380"/>
    </w:p>
    <w:p w14:paraId="4FDC450E">
      <w:pPr>
        <w:ind w:firstLine="640"/>
        <w:rPr>
          <w:szCs w:val="28"/>
        </w:rPr>
      </w:pPr>
      <w:r>
        <w:rPr>
          <w:szCs w:val="28"/>
        </w:rPr>
        <w:t>落实完善农村集体资产年度清查和定期报告制度，推进集体资产管理平台建设，加强农村集体“三资”管理。指导基层建立健全农村集体经济组织运营管理机制，探索明晰农村集体经济组织与村（居）民委员会的职能关系，支持有需要且条件成熟地区实行集体经济组织与村（居）民委员会账务分设、事务分离。深入推进农村“三变”改革，加强“三变”项目建设，健全股份合作机制，完善“保底收益+按股分红”等收益分配方式，强化承接经营主体与村集体和农民之间的利益联结，探索农村集体经济新的实现形式和农民财产性收入增长机制。继续实施扶持壮大村级集体经济的“百村培强、千村扶优、万村提升”工程，积极拓宽集体经济增收渠道，推动新型农村集体经济高质量发展。到2025年，全区经营性收入50万元以上的集体经济强村占比达到15%。</w:t>
      </w:r>
    </w:p>
    <w:p w14:paraId="3E24D087">
      <w:pPr>
        <w:pStyle w:val="3"/>
        <w:spacing w:beforeLines="50" w:afterLines="50" w:line="240" w:lineRule="auto"/>
        <w:ind w:firstLine="641"/>
        <w:jc w:val="left"/>
        <w:rPr>
          <w:rFonts w:ascii="Times New Roman" w:hAnsi="Times New Roman"/>
          <w:b w:val="0"/>
          <w:sz w:val="30"/>
          <w:szCs w:val="30"/>
        </w:rPr>
      </w:pPr>
      <w:bookmarkStart w:id="381" w:name="_Toc2889"/>
      <w:bookmarkStart w:id="382" w:name="_Toc97033792"/>
      <w:bookmarkStart w:id="383" w:name="_Toc23198"/>
      <w:r>
        <w:rPr>
          <w:rFonts w:ascii="Times New Roman" w:hAnsi="Times New Roman"/>
          <w:b w:val="0"/>
          <w:sz w:val="30"/>
          <w:szCs w:val="30"/>
        </w:rPr>
        <w:t>（四）健全农村金融服务体系</w:t>
      </w:r>
      <w:bookmarkEnd w:id="381"/>
      <w:bookmarkEnd w:id="382"/>
      <w:bookmarkEnd w:id="383"/>
    </w:p>
    <w:p w14:paraId="7131459C">
      <w:pPr>
        <w:ind w:firstLine="640"/>
        <w:rPr>
          <w:kern w:val="0"/>
          <w:szCs w:val="28"/>
        </w:rPr>
      </w:pPr>
      <w:r>
        <w:rPr>
          <w:kern w:val="0"/>
          <w:szCs w:val="28"/>
        </w:rPr>
        <w:t>落实普惠金融支持新型农业经营主体发展的政策举措。引导金融机构创新金融产品和服务，推广微贷技术、农业产业链金融模式。拓宽抵质押物范围，全面推行温室大棚、养殖圈舍、大型农机、土地经营权依法合规抵押融资，加快推进集体经营性建设用地使用权、集体林权等抵押贷款，探索开展存货、大额订单、股权、公益林补偿收益权等质押贷款。完善扶贫小额信贷政策，深入推进信用村建设，鼓励开发农户小额信用贷款模式。大力发展对新型农业经营主体的信用贷、首贷业务。鼓励金融机构对受新冠肺炎疫情影响、符合条件的涉农企业和主体，实施费率优惠、延期还本付息政策。鼓励金融机构按照市场化原则，与政府性融资担保机构合作，加大贷款投放力度，区涉农部门要分级建立项目库，协助推介项目。推深做实农业信贷担保体系，创新担保业务产品。充分运用支农再贷款等货币政策工具，引导金融机构扩大涉农信贷投放。推进农业保险扩面增品提标，扩大农业大灾保险实施范围，推进稻谷、小麦粮食作物完全成本保险和收入保险试点，全面推开育肥猪保险，实施优势特色农产品保险奖补政策。</w:t>
      </w:r>
    </w:p>
    <w:p w14:paraId="7E882FCD">
      <w:pPr>
        <w:pStyle w:val="3"/>
        <w:spacing w:beforeLines="50" w:afterLines="50" w:line="240" w:lineRule="auto"/>
        <w:ind w:firstLine="641"/>
        <w:jc w:val="left"/>
        <w:rPr>
          <w:rFonts w:ascii="Times New Roman" w:hAnsi="Times New Roman"/>
          <w:b w:val="0"/>
          <w:sz w:val="30"/>
          <w:szCs w:val="30"/>
        </w:rPr>
      </w:pPr>
      <w:bookmarkStart w:id="384" w:name="_Toc3821"/>
      <w:bookmarkStart w:id="385" w:name="_Toc16144"/>
      <w:bookmarkStart w:id="386" w:name="_Toc97033793"/>
      <w:bookmarkStart w:id="387" w:name="_Toc21982"/>
      <w:bookmarkStart w:id="388" w:name="_Toc28409"/>
      <w:bookmarkStart w:id="389" w:name="_Toc20528"/>
      <w:r>
        <w:rPr>
          <w:rFonts w:ascii="Times New Roman" w:hAnsi="Times New Roman"/>
          <w:b w:val="0"/>
          <w:sz w:val="30"/>
          <w:szCs w:val="30"/>
        </w:rPr>
        <w:t>（五）统筹推进水利、林业、供销等领域改革</w:t>
      </w:r>
      <w:bookmarkEnd w:id="384"/>
      <w:bookmarkEnd w:id="385"/>
      <w:bookmarkEnd w:id="386"/>
      <w:bookmarkEnd w:id="387"/>
      <w:bookmarkEnd w:id="388"/>
      <w:bookmarkEnd w:id="389"/>
    </w:p>
    <w:p w14:paraId="0F331111">
      <w:pPr>
        <w:ind w:firstLine="640"/>
        <w:rPr>
          <w:color w:val="333333"/>
          <w:spacing w:val="-6"/>
          <w:kern w:val="0"/>
          <w:szCs w:val="28"/>
        </w:rPr>
      </w:pPr>
      <w:r>
        <w:rPr>
          <w:szCs w:val="28"/>
        </w:rPr>
        <w:t>健全水资源资产产权制度，实施对流域水资源、水能资源开发利用的统一监管。加快推进农业水价综合改革，健全水价形成、节水激励和用水管理机制。深化小型水利工程管理体制改革，创新农村水利发展机制。推深做实林长制改革，贯彻落实《安徽省林长制条例》，完善林长组织体系与责任体系。巩固集体林权制度后续改革成果，</w:t>
      </w:r>
      <w:r>
        <w:rPr>
          <w:color w:val="333333"/>
          <w:spacing w:val="-6"/>
          <w:kern w:val="0"/>
          <w:szCs w:val="28"/>
        </w:rPr>
        <w:t>加快林地经营权有序流转，积极创建林长制改革示范区。</w:t>
      </w:r>
      <w:r>
        <w:rPr>
          <w:szCs w:val="28"/>
        </w:rPr>
        <w:t>进一步巩固完善国有林场改革，加快推进国有林场现代化建设。深化供销合作社综合改革，积极开展生产、供销、信用“三位一体”综合合作试点，打造为农服务功能更完备的综合平台。加快乡村振兴综合改革集成，按省市要求落实</w:t>
      </w:r>
      <w:r>
        <w:rPr>
          <w:color w:val="333333"/>
          <w:spacing w:val="-6"/>
          <w:kern w:val="0"/>
          <w:szCs w:val="28"/>
        </w:rPr>
        <w:t>农村金融改革和涉农资金整合改革等改革试点。</w:t>
      </w:r>
    </w:p>
    <w:p w14:paraId="24E199AB">
      <w:pPr>
        <w:pStyle w:val="3"/>
        <w:spacing w:beforeLines="50" w:afterLines="50" w:line="240" w:lineRule="auto"/>
        <w:ind w:firstLine="641"/>
        <w:jc w:val="left"/>
        <w:rPr>
          <w:rFonts w:ascii="Times New Roman" w:hAnsi="Times New Roman"/>
          <w:b w:val="0"/>
          <w:sz w:val="30"/>
          <w:szCs w:val="30"/>
        </w:rPr>
      </w:pPr>
      <w:bookmarkStart w:id="390" w:name="_Toc14330"/>
      <w:bookmarkStart w:id="391" w:name="_Toc30495"/>
      <w:bookmarkStart w:id="392" w:name="_Toc6067"/>
      <w:bookmarkStart w:id="393" w:name="_Toc97033794"/>
      <w:bookmarkStart w:id="394" w:name="_Toc31226"/>
      <w:bookmarkStart w:id="395" w:name="_Toc10533"/>
      <w:r>
        <w:rPr>
          <w:rFonts w:ascii="Times New Roman" w:hAnsi="Times New Roman"/>
          <w:b w:val="0"/>
          <w:sz w:val="30"/>
          <w:szCs w:val="30"/>
        </w:rPr>
        <w:t>（六）加快城乡融合发展</w:t>
      </w:r>
      <w:bookmarkEnd w:id="390"/>
      <w:bookmarkEnd w:id="391"/>
      <w:bookmarkEnd w:id="392"/>
      <w:bookmarkEnd w:id="393"/>
      <w:bookmarkEnd w:id="394"/>
      <w:bookmarkEnd w:id="395"/>
    </w:p>
    <w:p w14:paraId="3E35A225">
      <w:pPr>
        <w:ind w:firstLine="643"/>
        <w:rPr>
          <w:szCs w:val="28"/>
        </w:rPr>
      </w:pPr>
      <w:r>
        <w:rPr>
          <w:rFonts w:eastAsia="楷体_GB2312"/>
          <w:b/>
          <w:bCs/>
          <w:szCs w:val="28"/>
        </w:rPr>
        <w:t>健全城乡融合发展体制机制。</w:t>
      </w:r>
      <w:r>
        <w:rPr>
          <w:szCs w:val="28"/>
        </w:rPr>
        <w:t>强化统筹谋划和顶层设计，建立区、乡、村一体设计、一并推进机制，统筹全区产业、基础设施、公共服务、基本农田、生态保护、城镇开发、村落分布等空间布局，破除户籍、土地、资本、公共服务等方面的体制机制弊端，促进城乡要素平等交换、双向流动。强化区级综合服务能力，推动义务教育、医疗卫生、社会保险、劳动就业、文化体育等资源向乡镇、乡村延伸拓展，把乡镇建成服务农民的区域中心，加强乡村服务能力建设，实现区、乡、村功能衔接互补。积极开展城乡融合发展改革试点，争取在小城镇建设、城乡基础设施一体化、城乡基本公共服务均等化、城乡产业协同发展、城乡社会治理一体化等体制机制改革创新方面取得重大突破，在全市率先建立起城乡融合发展体制机制和政策体系。</w:t>
      </w:r>
    </w:p>
    <w:p w14:paraId="57FBD2A4">
      <w:pPr>
        <w:ind w:firstLine="643"/>
        <w:rPr>
          <w:szCs w:val="28"/>
        </w:rPr>
      </w:pPr>
      <w:r>
        <w:rPr>
          <w:rFonts w:eastAsia="楷体_GB2312"/>
          <w:b/>
          <w:bCs/>
          <w:szCs w:val="28"/>
        </w:rPr>
        <w:t>推进新型城镇化建设。</w:t>
      </w:r>
      <w:r>
        <w:rPr>
          <w:szCs w:val="28"/>
        </w:rPr>
        <w:t>优化城镇开发布局，着力补齐公共服务设施、环境基础设施、市政公用设施、产业配套设施短板弱项，推动中心城区“中心隆起”，高水平打造城南新区“城市南翼”，加快建设河西滨水新区“城市西翼”。加快新型城镇化试点步伐，围绕独山镇、苏埠镇新型城镇化省级试点，以加快小城镇建设“补、建、管”为着力点，逐步提升公共服务，强化产业支撑，加强社会治理。分类推进集镇特色化发展，将集镇发展融入全区格局，突出区位和资源特色，推动“以产聚镇”“一镇一业”，提升城镇设施配套，增强对周边人口的集聚能力和服务辐射水平，加快构建形成四个卫星镇（苏埠、新安、徐集、分路口）、两个副中心镇（独山、丁集）、一批特色乡镇的小城镇发展布局。以乡镇为基本实施单元，稳步推进全域土地综合整治试点工作，及时总结试点经验。推动就业的农民工就地市民化，增加适应进城农民刚性需求的住房供给。</w:t>
      </w:r>
    </w:p>
    <w:p w14:paraId="6B86EF21">
      <w:pPr>
        <w:pStyle w:val="13"/>
        <w:ind w:firstLine="602"/>
        <w:rPr>
          <w:color w:val="333333"/>
          <w:spacing w:val="-6"/>
          <w:kern w:val="0"/>
          <w:szCs w:val="32"/>
        </w:rPr>
        <w:sectPr>
          <w:pgSz w:w="11906" w:h="16838"/>
          <w:pgMar w:top="1871" w:right="1588" w:bottom="1588" w:left="1588" w:header="1134" w:footer="907" w:gutter="0"/>
          <w:cols w:space="720" w:num="1"/>
          <w:docGrid w:type="linesAndChars" w:linePitch="445" w:charSpace="-1472"/>
        </w:sectPr>
      </w:pPr>
    </w:p>
    <w:p w14:paraId="47DB84BD">
      <w:pPr>
        <w:pStyle w:val="2"/>
        <w:spacing w:before="240" w:after="240" w:line="600" w:lineRule="exact"/>
        <w:jc w:val="center"/>
        <w:rPr>
          <w:rFonts w:ascii="Times New Roman" w:hAnsi="Times New Roman" w:eastAsia="方正小标宋简体"/>
          <w:b w:val="0"/>
          <w:sz w:val="36"/>
          <w:szCs w:val="36"/>
        </w:rPr>
      </w:pPr>
      <w:bookmarkStart w:id="396" w:name="_Toc13287"/>
      <w:bookmarkStart w:id="397" w:name="_Toc5985"/>
      <w:bookmarkStart w:id="398" w:name="_Toc97033795"/>
      <w:bookmarkStart w:id="399" w:name="_Toc21531"/>
      <w:bookmarkStart w:id="400" w:name="_Toc20798"/>
      <w:bookmarkStart w:id="401" w:name="_Toc2764"/>
      <w:r>
        <w:rPr>
          <w:rFonts w:ascii="Times New Roman" w:hAnsi="Times New Roman" w:eastAsia="方正小标宋简体"/>
          <w:b w:val="0"/>
          <w:sz w:val="36"/>
          <w:szCs w:val="36"/>
        </w:rPr>
        <w:t>十、巩固拓展脱贫攻坚成果，接续推进乡村全面振兴</w:t>
      </w:r>
      <w:bookmarkEnd w:id="396"/>
      <w:bookmarkEnd w:id="397"/>
      <w:bookmarkEnd w:id="398"/>
      <w:bookmarkEnd w:id="399"/>
      <w:bookmarkEnd w:id="400"/>
      <w:bookmarkEnd w:id="401"/>
    </w:p>
    <w:p w14:paraId="21B0C9E6">
      <w:pPr>
        <w:ind w:firstLine="640"/>
        <w:rPr>
          <w:szCs w:val="28"/>
        </w:rPr>
      </w:pPr>
      <w:r>
        <w:rPr>
          <w:szCs w:val="28"/>
        </w:rPr>
        <w:t>将巩固拓展脱贫攻坚成果放在突出位置，集中资源支持脱贫攻坚转向巩固拓展脱贫攻坚成果和全面推进乡村振兴，力争在巩固拓展脱贫攻坚成果方面走在全省前列。</w:t>
      </w:r>
    </w:p>
    <w:p w14:paraId="77DDFF46">
      <w:pPr>
        <w:pStyle w:val="3"/>
        <w:spacing w:beforeLines="50" w:afterLines="50" w:line="240" w:lineRule="auto"/>
        <w:ind w:firstLine="641"/>
        <w:jc w:val="left"/>
        <w:rPr>
          <w:rFonts w:ascii="Times New Roman" w:hAnsi="Times New Roman"/>
          <w:b w:val="0"/>
          <w:sz w:val="30"/>
          <w:szCs w:val="30"/>
        </w:rPr>
      </w:pPr>
      <w:bookmarkStart w:id="402" w:name="_Toc3248"/>
      <w:bookmarkStart w:id="403" w:name="_Toc1697"/>
      <w:bookmarkStart w:id="404" w:name="_Toc28584"/>
      <w:bookmarkStart w:id="405" w:name="_Toc5354"/>
      <w:bookmarkStart w:id="406" w:name="_Toc1251"/>
      <w:bookmarkStart w:id="407" w:name="_Toc30274"/>
      <w:bookmarkStart w:id="408" w:name="_Toc97033796"/>
      <w:bookmarkStart w:id="409" w:name="_Toc21719"/>
      <w:r>
        <w:rPr>
          <w:rFonts w:ascii="Times New Roman" w:hAnsi="Times New Roman"/>
          <w:b w:val="0"/>
          <w:sz w:val="30"/>
          <w:szCs w:val="30"/>
        </w:rPr>
        <w:t>（一）建立健全巩固拓展脱贫攻坚成果</w:t>
      </w:r>
      <w:bookmarkEnd w:id="402"/>
      <w:r>
        <w:rPr>
          <w:rFonts w:ascii="Times New Roman" w:hAnsi="Times New Roman"/>
          <w:b w:val="0"/>
          <w:sz w:val="30"/>
          <w:szCs w:val="30"/>
        </w:rPr>
        <w:t>长效机制</w:t>
      </w:r>
      <w:bookmarkEnd w:id="403"/>
      <w:bookmarkEnd w:id="404"/>
      <w:bookmarkEnd w:id="405"/>
      <w:bookmarkEnd w:id="406"/>
      <w:bookmarkEnd w:id="407"/>
      <w:bookmarkEnd w:id="408"/>
      <w:bookmarkEnd w:id="409"/>
    </w:p>
    <w:p w14:paraId="27205640">
      <w:pPr>
        <w:ind w:firstLine="643"/>
        <w:rPr>
          <w:szCs w:val="28"/>
        </w:rPr>
      </w:pPr>
      <w:r>
        <w:rPr>
          <w:rFonts w:eastAsia="楷体_GB2312"/>
          <w:b/>
          <w:bCs/>
          <w:szCs w:val="28"/>
        </w:rPr>
        <w:t>保持主要帮扶政策总体稳定。</w:t>
      </w:r>
      <w:r>
        <w:rPr>
          <w:szCs w:val="28"/>
        </w:rPr>
        <w:t>过渡期内严格落实“四个不摘”要求，摘帽不摘责任，防止松劲懈怠；摘帽不摘政策，防止急刹车；摘帽不摘帮扶，帮扶责任保持不变，防止一撤了之；摘帽不摘监管，对脱贫人口加强跟踪监测，防止贫困反弹。在落实好中央、省市政策的基础上，对现有帮扶政策进行研究论证、优化调整。加强帮扶政策与市场机制对接，促进帮扶政策合理、适度、可持续。兜底救助类政策要继续保持稳定。落实好教育、医疗、住房、饮水等民生保障普惠性政策，并根据脱贫人口实际困难给予适度倾斜。优化产业就业等发展类政策。</w:t>
      </w:r>
    </w:p>
    <w:p w14:paraId="555648C2">
      <w:pPr>
        <w:ind w:firstLine="643"/>
        <w:rPr>
          <w:szCs w:val="28"/>
        </w:rPr>
      </w:pPr>
      <w:r>
        <w:rPr>
          <w:rFonts w:eastAsia="楷体_GB2312"/>
          <w:b/>
          <w:bCs/>
          <w:szCs w:val="28"/>
        </w:rPr>
        <w:t>健全防止返贫动态监测和帮扶机制。</w:t>
      </w:r>
      <w:r>
        <w:rPr>
          <w:szCs w:val="28"/>
        </w:rPr>
        <w:t>对脱贫不稳定户、边缘易致贫户，以及因病因残因灾因意外事故等刚性支出较大或收入大幅缩减导致基本生活出现严重困难户，开展定期检查、识别标注和动态管理，重点监测其收入支出状况、“两不愁三保障”和饮水安全状况、分户子女家庭条件，合理确定监测标准。建立健全易返贫致贫人口快速发现和响应机制，分层分类及时纳入帮扶政策范围，开展系统监测预警和实地督导，强化全过程监管，完善核查和销号制度，实行动态清零。利用省防止返贫大数据监测平台，加强相关部门、单位数据共享和对接，充分利用先进技术手段提升监测准确性。建立农户主动申请、部门信息比对、基层干部定期跟踪回访相结合的易返贫致贫人口发现和核查机制，实施帮扶对象动态管理。坚持事前预防性措施和事后帮扶相结合，认真落实“五防”机制，精准分析返贫致贫原因，采取有针对性的帮扶措施。</w:t>
      </w:r>
    </w:p>
    <w:p w14:paraId="7A553464">
      <w:pPr>
        <w:ind w:firstLine="643"/>
        <w:rPr>
          <w:szCs w:val="28"/>
        </w:rPr>
      </w:pPr>
      <w:r>
        <w:rPr>
          <w:rFonts w:eastAsia="楷体_GB2312"/>
          <w:b/>
          <w:bCs/>
          <w:szCs w:val="28"/>
        </w:rPr>
        <w:t>巩固“两不愁三保障”成果。</w:t>
      </w:r>
      <w:r>
        <w:rPr>
          <w:szCs w:val="28"/>
        </w:rPr>
        <w:t>落实行业主管部门工作责任。健全控辍保学工作机制，提升脱贫地区农村中小学教育质量和水平，确保除身体原因不具备学习条件外脱贫家庭义务教育阶段适龄儿童少年不失学辍学。健全因病返贫致贫风险防范机制，落实分类资助参保政策，做好脱贫人口参保动员工作，保障有大病患者、重病患者的脱贫家庭基本生活；提升脱贫地区乡村医疗卫生服务能力，常见病、慢性病能够在区、乡、村三级医疗机构获得及时诊治。建立健全农村脱贫人口住房安全动态监测机制，按照“户申请、村评议、乡镇审核、区审批”程序，通过农村危房改造、闲置农房置换或长期租赁、闲置公用房安置等多种方式保障低收入人口基本住房安全。健全农村供水工程长效管理机制，巩固维护好已建农村供水工程成果，不断提升农村供水保障水平。</w:t>
      </w:r>
    </w:p>
    <w:p w14:paraId="10AA79A3">
      <w:pPr>
        <w:ind w:firstLine="643"/>
        <w:rPr>
          <w:szCs w:val="28"/>
        </w:rPr>
      </w:pPr>
      <w:r>
        <w:rPr>
          <w:rFonts w:eastAsia="楷体_GB2312"/>
          <w:b/>
          <w:bCs/>
          <w:szCs w:val="28"/>
        </w:rPr>
        <w:t>加强扶贫项目资产管理和监督。</w:t>
      </w:r>
      <w:r>
        <w:rPr>
          <w:szCs w:val="28"/>
        </w:rPr>
        <w:t>对各类扶贫项目形成的资产进行全面核查和确权登记，分类摸清底数，加强台账管理。公益性资产要落实管护主体，明确管护责任，确保继续发挥作用。经营性资产要明晰产权关系，防止资产流失，资产收益重点用于项目运行管护、村级公益事业和巩固拓展脱贫攻坚成果等。确权到农户或其他经营主体的扶贫资产，依法维护其财产权利，由其自主管理和运营。</w:t>
      </w:r>
    </w:p>
    <w:p w14:paraId="572A0DEA">
      <w:pPr>
        <w:pStyle w:val="3"/>
        <w:spacing w:beforeLines="50" w:afterLines="50" w:line="240" w:lineRule="auto"/>
        <w:ind w:firstLine="641"/>
        <w:jc w:val="left"/>
        <w:rPr>
          <w:rFonts w:ascii="Times New Roman" w:hAnsi="Times New Roman"/>
          <w:b w:val="0"/>
          <w:sz w:val="30"/>
          <w:szCs w:val="30"/>
        </w:rPr>
      </w:pPr>
      <w:bookmarkStart w:id="410" w:name="_Toc11605"/>
      <w:bookmarkStart w:id="411" w:name="_Toc27103"/>
      <w:bookmarkStart w:id="412" w:name="_Toc9182"/>
      <w:bookmarkStart w:id="413" w:name="_Toc97033797"/>
      <w:bookmarkStart w:id="414" w:name="_Toc280"/>
      <w:bookmarkStart w:id="415" w:name="_Toc2279"/>
      <w:r>
        <w:rPr>
          <w:rFonts w:ascii="Times New Roman" w:hAnsi="Times New Roman"/>
          <w:b w:val="0"/>
          <w:sz w:val="30"/>
          <w:szCs w:val="30"/>
        </w:rPr>
        <w:t>（二）健全农村低收入人口常态化帮扶机制</w:t>
      </w:r>
      <w:bookmarkEnd w:id="410"/>
      <w:bookmarkEnd w:id="411"/>
      <w:bookmarkEnd w:id="412"/>
      <w:bookmarkEnd w:id="413"/>
      <w:bookmarkEnd w:id="414"/>
      <w:bookmarkEnd w:id="415"/>
    </w:p>
    <w:p w14:paraId="06E9D802">
      <w:pPr>
        <w:ind w:firstLine="643"/>
        <w:rPr>
          <w:szCs w:val="28"/>
        </w:rPr>
      </w:pPr>
      <w:r>
        <w:rPr>
          <w:rFonts w:eastAsia="楷体_GB2312"/>
          <w:b/>
          <w:bCs/>
          <w:szCs w:val="28"/>
        </w:rPr>
        <w:t>加强农村低收入人口监测。</w:t>
      </w:r>
      <w:r>
        <w:rPr>
          <w:szCs w:val="28"/>
        </w:rPr>
        <w:t>以现有社会保障体系为基础，对农村低保对象、特困人员、易返贫致贫人口，以及因病因残因灾因意外事故等刚性支出较大或收入大幅缩减导致基本生活出现严重困难人口等农村低收入人口开展动态监测。依托现有数据平台，加强数据比对和信息共享，完善跟踪走访、排查核查、系统录入等基层主动发现机制。健全多部门联动、系统监管、乡村落实的风险预警、研判和处置机制，实现对农村低收入人口风险点的早发现、早帮扶。完善乡村排查、区审核、市级备案、省级抽查的农村低收入人口定期核查和动态调整机制，实行有进有出、动态管理。</w:t>
      </w:r>
    </w:p>
    <w:p w14:paraId="2F7E71FE">
      <w:pPr>
        <w:ind w:firstLine="643"/>
        <w:rPr>
          <w:szCs w:val="28"/>
        </w:rPr>
      </w:pPr>
      <w:r>
        <w:rPr>
          <w:rFonts w:eastAsia="楷体_GB2312"/>
          <w:b/>
          <w:bCs/>
          <w:szCs w:val="28"/>
        </w:rPr>
        <w:t>分层分类实施社会救助。</w:t>
      </w:r>
      <w:r>
        <w:rPr>
          <w:szCs w:val="28"/>
        </w:rPr>
        <w:t>完善最低生活保障制度，科学认定农村低保对象，提高政策精准性。调整优化针对原建档立卡贫困户的低保“单人户”“低保渐退”等政策。完善低保家庭收入财产认定方法。健全低保标准制定和动态调整机制。鼓励有劳动能力的农村低保对象参与就业，在计算家庭收入时扣减必要的就业成本。完善农村特困人员救助供养制度，落实特困救助供养未成年人年龄由16周岁延长到18周岁政策，规范特困人员认定、审批和终止救助全流程管理，及时将符合条件的人口纳入救助供养范围。合理提高救助供养水平和服务质量，加快推进特困人员供养服务设施改造提升，鼓励有条件的农村特困供养服务机构为农村低收入家庭特别是其中的老年人、残疾人等提供低偿或无偿的集中托养服务。完善残疾儿童康复救助制度，提高救助服务质量。加强社会救助资源统筹，根据对象类型、困难程度等，及时有针对性地给予困难群众医疗、教育、住房、就业等专项救助，做到精准识别、应救尽救。拓展社会救助服务内涵，建立健全“物质+服务”救助方式。对基本生活陷入暂时困难的群众加强临时救助，做到凡困必帮、有难必救。加强基层社会救助能力建设，建立健全乡镇（街道）社会工作站。鼓励通过政府购买服务对社会救助家庭中生活不能自理的老年人、未成年人、残疾人等提供必要的访视、照料服务。</w:t>
      </w:r>
    </w:p>
    <w:p w14:paraId="33219301">
      <w:pPr>
        <w:ind w:firstLine="643"/>
        <w:rPr>
          <w:szCs w:val="28"/>
        </w:rPr>
      </w:pPr>
      <w:r>
        <w:rPr>
          <w:rFonts w:eastAsia="楷体_GB2312"/>
          <w:b/>
          <w:bCs/>
          <w:szCs w:val="28"/>
        </w:rPr>
        <w:t>合理确定农村医疗保障待遇水平。</w:t>
      </w:r>
      <w:r>
        <w:rPr>
          <w:szCs w:val="28"/>
        </w:rPr>
        <w:t>坚持基本标准，调整现行健康脱贫综合医疗保障政策，统筹发挥基本医疗保险、大病保险、医疗救助三重保障制度综合梯次减负功能。完善城乡居民基本医疗保险参保个人缴费资助政策，继续全额资助农村特困人员，落实定额资助低保对象资助标准。在逐步提高大病保障水平基础上，落实好大病保险继续对低保对象、特困人员和返贫致贫人口进行倾斜支付政策，比普通参保居民起付线降低50%，报销比例提高5个百分点，取消封顶线。进一步夯实医疗救助托底保障，合理设定年度救助限额，住院和门诊救助共用年度救助限额。科学调整脱贫攻坚期超常规保障措施。</w:t>
      </w:r>
    </w:p>
    <w:p w14:paraId="16B1DC6B">
      <w:pPr>
        <w:ind w:firstLine="643"/>
        <w:rPr>
          <w:szCs w:val="28"/>
        </w:rPr>
      </w:pPr>
      <w:r>
        <w:rPr>
          <w:rFonts w:eastAsia="楷体_GB2312"/>
          <w:b/>
          <w:bCs/>
          <w:szCs w:val="28"/>
        </w:rPr>
        <w:t>完善养老保障和儿童关爱服务。</w:t>
      </w:r>
      <w:r>
        <w:rPr>
          <w:szCs w:val="28"/>
        </w:rPr>
        <w:t>完善城乡居民基本养老保险费代缴政策，按照最低缴费档次为参加城乡居民养老保险的低保对象、特困人员、返贫致贫人口、重度残疾人等缴费困难群体代缴全部保费。在提高城乡居民基本养老保险缴费档次时，对上述困难群体和其他已脱贫人口继续保留现行最低缴费档次。强化区乡两级养老机构对失能、部分失能特困老年人口的兜底保障，盘活利用敬老院、闲置校舍、老年公寓等进行统筹规划改造，支持社会资本经营、开办集中养护机构，加大支持力度，推动医、康、养、护有机融合，鼓励各地通过政府购买服务的方式提高失能、部分失能特困老年人口供养水平。加大区、乡镇养老机构管理人员专项培训力度，提升照护水平。完善农村留守儿童和困境儿童关爱服务体系，加大对孤儿、事实无人抚养儿童等保障力度，落实基本生活保障制度和教育保障政策，提高儿童福利机构服务保障水平。提高医疗康复保障水平，加强残疾人托养照护、康复服务。</w:t>
      </w:r>
    </w:p>
    <w:p w14:paraId="37955044">
      <w:pPr>
        <w:ind w:firstLine="643"/>
        <w:rPr>
          <w:szCs w:val="28"/>
        </w:rPr>
      </w:pPr>
      <w:r>
        <w:rPr>
          <w:rFonts w:eastAsia="楷体_GB2312"/>
          <w:b/>
          <w:bCs/>
          <w:szCs w:val="28"/>
        </w:rPr>
        <w:t>织密兜牢丧失劳动能力人口基本生活保障底线。</w:t>
      </w:r>
      <w:r>
        <w:rPr>
          <w:szCs w:val="28"/>
        </w:rPr>
        <w:t>建立完善社会救助主动发现机制，对脱贫人口中完全丧失劳动能力或部分丧失劳动能力且无法通过产业就业获得稳定收入的人口，以及低收入家庭中的重度残疾人、重病患者，按规定纳入农村低保或特困人员救助供养范围，根据困难类型及时救助，应保尽保、应兜尽兜。</w:t>
      </w:r>
    </w:p>
    <w:p w14:paraId="495A1A26">
      <w:pPr>
        <w:pStyle w:val="3"/>
        <w:spacing w:beforeLines="50" w:afterLines="50" w:line="240" w:lineRule="auto"/>
        <w:ind w:firstLine="641"/>
        <w:jc w:val="left"/>
        <w:rPr>
          <w:rFonts w:ascii="Times New Roman" w:hAnsi="Times New Roman"/>
          <w:b w:val="0"/>
          <w:sz w:val="30"/>
          <w:szCs w:val="30"/>
        </w:rPr>
      </w:pPr>
      <w:bookmarkStart w:id="416" w:name="_Toc24361"/>
      <w:bookmarkStart w:id="417" w:name="_Toc97033798"/>
      <w:bookmarkStart w:id="418" w:name="_Toc4530"/>
      <w:r>
        <w:rPr>
          <w:rFonts w:ascii="Times New Roman" w:hAnsi="Times New Roman"/>
          <w:b w:val="0"/>
          <w:sz w:val="30"/>
          <w:szCs w:val="30"/>
        </w:rPr>
        <w:t>（三）接续推进乡村振兴</w:t>
      </w:r>
      <w:bookmarkEnd w:id="416"/>
      <w:bookmarkEnd w:id="417"/>
      <w:bookmarkEnd w:id="418"/>
    </w:p>
    <w:p w14:paraId="58B155D0">
      <w:pPr>
        <w:ind w:firstLine="641"/>
        <w:rPr>
          <w:szCs w:val="28"/>
        </w:rPr>
      </w:pPr>
      <w:r>
        <w:rPr>
          <w:szCs w:val="28"/>
        </w:rPr>
        <w:t>作为持续攻坚区，裕安区“十四五”期间巩固拓展脱贫攻坚成果的任务繁重，重点要根据形势变化，理清工作思路，把巩固拓展脱贫攻坚成果、防止规模性返贫作为头等大事，把同乡村振兴有效衔接作为最紧迫任务，全力巩固拓展脱贫攻坚成果，全面推进脱贫地区乡村振兴。过渡期内，用足用活现有政策，严格落实好“四个不摘”要求，健全防止返贫监测和帮扶机制，大力实施脱贫地区乡村特色产业发展、基础设施、公共服务、脱贫人口稳定就业、农村生态保护五大提升行动，接续推进脱贫地区发展和群众生活改善，做好过渡期内领导体制、工作体系、发展规划、政策举措、考核机制等有效衔接，从集中资源支持脱贫攻坚转向巩固拓展脱贫攻坚成果和全面推进乡村振兴。</w:t>
      </w:r>
    </w:p>
    <w:p w14:paraId="3361E234">
      <w:pPr>
        <w:jc w:val="center"/>
        <w:rPr>
          <w:rFonts w:eastAsia="方正小标宋简体"/>
          <w:sz w:val="36"/>
          <w:szCs w:val="36"/>
        </w:rPr>
      </w:pPr>
      <w:r>
        <w:br w:type="page"/>
      </w:r>
      <w:bookmarkStart w:id="419" w:name="_Toc97033799"/>
      <w:r>
        <w:rPr>
          <w:rFonts w:eastAsia="方正小标宋简体"/>
          <w:sz w:val="36"/>
          <w:szCs w:val="36"/>
        </w:rPr>
        <w:t>十一、促进农民收入大幅度增长</w:t>
      </w:r>
      <w:bookmarkEnd w:id="419"/>
    </w:p>
    <w:p w14:paraId="1025AFB3">
      <w:pPr>
        <w:pStyle w:val="7"/>
        <w:spacing w:after="0"/>
        <w:ind w:right="285" w:firstLine="640"/>
        <w:rPr>
          <w:szCs w:val="28"/>
        </w:rPr>
      </w:pPr>
      <w:r>
        <w:rPr>
          <w:szCs w:val="28"/>
        </w:rPr>
        <w:t>坚持走共同富裕之路，聚焦农民收入短板，因地制宜、精准施策，健全各类生产要素由市场决定报酬的机制，多途径拓宽增收渠道，在高质量发展中扎实推进农民收入大幅度增长，促进城乡居民人均收入倍差持续缩小。</w:t>
      </w:r>
    </w:p>
    <w:p w14:paraId="4C0A558D">
      <w:pPr>
        <w:pStyle w:val="3"/>
        <w:spacing w:beforeLines="50" w:afterLines="50" w:line="240" w:lineRule="auto"/>
        <w:ind w:firstLine="641"/>
        <w:jc w:val="left"/>
        <w:rPr>
          <w:rFonts w:ascii="Times New Roman" w:hAnsi="Times New Roman"/>
          <w:b w:val="0"/>
          <w:sz w:val="30"/>
          <w:szCs w:val="30"/>
        </w:rPr>
      </w:pPr>
      <w:bookmarkStart w:id="420" w:name="_bookmark75"/>
      <w:bookmarkEnd w:id="420"/>
      <w:bookmarkStart w:id="421" w:name="（一）培育高素质农民队伍"/>
      <w:bookmarkEnd w:id="421"/>
      <w:bookmarkStart w:id="422" w:name="_Toc97033800"/>
      <w:r>
        <w:rPr>
          <w:rFonts w:ascii="Times New Roman" w:hAnsi="Times New Roman"/>
          <w:b w:val="0"/>
          <w:sz w:val="30"/>
          <w:szCs w:val="30"/>
        </w:rPr>
        <w:t>（一）培育高素质农民队伍</w:t>
      </w:r>
      <w:bookmarkEnd w:id="422"/>
    </w:p>
    <w:p w14:paraId="55981D29">
      <w:pPr>
        <w:pStyle w:val="7"/>
        <w:spacing w:after="0"/>
        <w:ind w:right="285" w:firstLine="657"/>
        <w:rPr>
          <w:szCs w:val="28"/>
        </w:rPr>
      </w:pPr>
      <w:r>
        <w:rPr>
          <w:w w:val="95"/>
          <w:szCs w:val="28"/>
        </w:rPr>
        <w:t xml:space="preserve">实施高素质农民培育计划，整合利用各类教育培训资 </w:t>
      </w:r>
      <w:r>
        <w:rPr>
          <w:szCs w:val="28"/>
        </w:rPr>
        <w:t>源，健全分层分类、训育结合工作机制，采取课堂教学、实习实训、线上学习、现场观摩、指导服务等形式开展全产业链培训，培养造就一支懂技术、有文化、善经营的高素质农民队伍。学习发展金寨经验，开展以“培养能人、培育产业” 为重点的农村产业发展带头人培育，提升一批现有人才，挖掘一批潜在人才，引进一批外来人才，打造引领乡村产业发展的“领头雁”。大力开展农村专业人才认定，重点培养一批乡村企业家、农业经理人、经纪人、乡村工匠、文化能人、非遗传承人等。</w:t>
      </w:r>
    </w:p>
    <w:p w14:paraId="52212AD0">
      <w:pPr>
        <w:pStyle w:val="3"/>
        <w:spacing w:beforeLines="50" w:afterLines="50" w:line="240" w:lineRule="auto"/>
        <w:ind w:firstLine="641"/>
        <w:jc w:val="left"/>
        <w:rPr>
          <w:rFonts w:ascii="Times New Roman" w:hAnsi="Times New Roman"/>
          <w:b w:val="0"/>
          <w:sz w:val="30"/>
          <w:szCs w:val="30"/>
        </w:rPr>
      </w:pPr>
      <w:bookmarkStart w:id="423" w:name="（二）实施农民收入跃升计划"/>
      <w:bookmarkEnd w:id="423"/>
      <w:bookmarkStart w:id="424" w:name="_bookmark76"/>
      <w:bookmarkEnd w:id="424"/>
      <w:bookmarkStart w:id="425" w:name="_Toc97033801"/>
      <w:r>
        <w:rPr>
          <w:rFonts w:ascii="Times New Roman" w:hAnsi="Times New Roman"/>
          <w:b w:val="0"/>
          <w:sz w:val="30"/>
          <w:szCs w:val="30"/>
        </w:rPr>
        <w:t>（二）实施农民收入跃升计划</w:t>
      </w:r>
      <w:bookmarkEnd w:id="425"/>
    </w:p>
    <w:p w14:paraId="61E9059F">
      <w:pPr>
        <w:pStyle w:val="7"/>
        <w:spacing w:after="0"/>
        <w:ind w:right="266" w:firstLine="643"/>
        <w:rPr>
          <w:szCs w:val="28"/>
        </w:rPr>
      </w:pPr>
      <w:r>
        <w:rPr>
          <w:rFonts w:eastAsia="楷体_GB2312"/>
          <w:b/>
          <w:szCs w:val="28"/>
        </w:rPr>
        <w:t>实施工资性收入倍增行动。</w:t>
      </w:r>
      <w:r>
        <w:rPr>
          <w:szCs w:val="28"/>
        </w:rPr>
        <w:t>积极开发当地就业岗位， 扶持劳动密集型企业发展，加大服务业特别是家庭服务业扶持力度，为农民提供更多的就业机会。支持和规范发展新就业形态，鼓励农民通过临时性、非全日制、季节性、弹性工作等灵活多样形式就地就近就业。深入开展区域劳务协作，健全岗位归集发布和劳务对接机制，完善转移就业服务，提高劳务输出的组织化程度，建立农民工服务保障与监测预警平台。深入实施“春潮行动”“技能安徽”暨职业技能提升行动等，加快发展订单、定向、定岗式培训，提升农村劳动力转移就业竞争力。进一步落实农民工与城镇职工平等就业、同工同酬制度。力争到“十四五”末，农民工资性收入实现倍增，在可支配收入中的比重超过 40%，促进农民持续稳定增收的支撑作用更加突出。</w:t>
      </w:r>
    </w:p>
    <w:p w14:paraId="0CF4C2AB">
      <w:pPr>
        <w:pStyle w:val="7"/>
        <w:spacing w:after="0"/>
        <w:ind w:right="285" w:firstLine="634"/>
        <w:rPr>
          <w:szCs w:val="28"/>
        </w:rPr>
      </w:pPr>
      <w:r>
        <w:rPr>
          <w:rFonts w:eastAsia="楷体_GB2312"/>
          <w:b/>
          <w:szCs w:val="28"/>
        </w:rPr>
        <w:t>实施经营性收入壮大行动。</w:t>
      </w:r>
      <w:r>
        <w:rPr>
          <w:szCs w:val="28"/>
        </w:rPr>
        <w:t>推广土地股份合作、土地托管、代耕代种以及统种统收、统防统治、统销统结等联合经营模式，以服务社会化带动小农户开展专业化经营、标准化生产，共享产业高质量发展红利。支持新型农业经营主体优化产业结构、延伸产业链条，带动农民参与全产业链发展， 提高农民受益水平。支持农民以土地、资金、劳动、技术、产品为纽带，开展多种形式的合作与联合，增强参与产业融</w:t>
      </w:r>
      <w:r>
        <w:rPr>
          <w:w w:val="95"/>
          <w:szCs w:val="28"/>
        </w:rPr>
        <w:t xml:space="preserve">合发展的能力。大力推广“订单收购+分红”“土地流转+优先雇佣+社会保障”“农民入股+保底收益+按股分红”等紧密型 </w:t>
      </w:r>
      <w:r>
        <w:rPr>
          <w:szCs w:val="28"/>
        </w:rPr>
        <w:t>利益联结方式，让农户参与全产业链发展，分享加工、销售环节收益。支持各类新型经营主体开辟新空间，发展乡土特色产业、传统工艺等，培育一批家庭工场、手工作坊、乡村车间，开拓乡村产业经营增收新增长点。</w:t>
      </w:r>
    </w:p>
    <w:p w14:paraId="7BD3EF0F">
      <w:pPr>
        <w:ind w:firstLine="535" w:firstLineChars="196"/>
        <w:jc w:val="left"/>
        <w:rPr>
          <w:szCs w:val="28"/>
        </w:rPr>
      </w:pPr>
      <w:r>
        <w:rPr>
          <w:rFonts w:eastAsia="楷体_GB2312"/>
          <w:b/>
          <w:szCs w:val="28"/>
        </w:rPr>
        <w:t>实施财产性收入扩量行动。</w:t>
      </w:r>
      <w:r>
        <w:rPr>
          <w:szCs w:val="28"/>
        </w:rPr>
        <w:t>以农村集体产权制度改革为抓手，落实农民财产权利，推进股份化、市场化和实体化， 探索完善收益分配机制。激活农村集体资产权能，建设完善农村产权交易服务平台，促进农村承包土地经营权和农民住</w:t>
      </w:r>
      <w:r>
        <w:rPr>
          <w:w w:val="95"/>
          <w:szCs w:val="28"/>
        </w:rPr>
        <w:t>房财产权抵押与流转。支持农民以土地经营权、林地经营权、</w:t>
      </w:r>
      <w:r>
        <w:rPr>
          <w:szCs w:val="28"/>
        </w:rPr>
        <w:t>水域滩涂养殖权等入股发展农业产业化经营。健全完善财政支农项目资金折股量化到户模式，有效促进财产性收入增长。引导村集体经济组织以自主开发、合资合作、出租入股等方式，因地制宜发展现代农业、乡村旅游、劳务服务、社区养老、物业租赁等，完善集体收益分配制度，引导合理确定收益分配标准，明确收益分配范围和顺序，完善集体经济带动农民财产性收入持续稳定增长机制。</w:t>
      </w:r>
    </w:p>
    <w:p w14:paraId="195A255A">
      <w:pPr>
        <w:pStyle w:val="7"/>
        <w:spacing w:after="0"/>
        <w:ind w:right="139" w:firstLine="631"/>
        <w:rPr>
          <w:szCs w:val="28"/>
        </w:rPr>
      </w:pPr>
      <w:r>
        <w:rPr>
          <w:rFonts w:eastAsia="楷体_GB2312"/>
          <w:b/>
          <w:szCs w:val="28"/>
        </w:rPr>
        <w:t>实施转移性收入提升行动。</w:t>
      </w:r>
      <w:r>
        <w:rPr>
          <w:szCs w:val="28"/>
        </w:rPr>
        <w:t>把增加农民转移性收入作为完善再分配调节机制的重要内容，保持强农惠农政策的稳定性、延续性。建立健全普惠性的农民补贴长效机制，落实以绿色生态为导向的农业补贴制度，完善对农民直接补贴政策，健全生产者补贴制度，确保按时足额把惠农资金发放到农民手中。织密社会保障安全网，建立完善社会救助主动发现机制，对完全丧失劳动能力或部分丧失劳动能力且无法通过产业就业获得稳定收入的农村人口，以及低收入家庭中的重度残疾人、重病患者，按规定纳入农村低保或特困人员救</w:t>
      </w:r>
      <w:r>
        <w:rPr>
          <w:w w:val="95"/>
          <w:szCs w:val="28"/>
        </w:rPr>
        <w:t xml:space="preserve">助供养范围，根据困难类型及时救助，应保尽保、应兜尽兜。 </w:t>
      </w:r>
      <w:r>
        <w:rPr>
          <w:szCs w:val="28"/>
        </w:rPr>
        <w:t>完善第三次分配机制，大力发展面向农村的公益慈善事业。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14:paraId="21C2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5" w:type="dxa"/>
            <w:vAlign w:val="center"/>
          </w:tcPr>
          <w:p w14:paraId="4FFB7A26">
            <w:pPr>
              <w:pStyle w:val="3"/>
              <w:spacing w:before="0" w:after="0" w:line="240" w:lineRule="auto"/>
              <w:jc w:val="center"/>
              <w:rPr>
                <w:rFonts w:ascii="Times New Roman" w:hAnsi="Times New Roman"/>
                <w:b w:val="0"/>
                <w:sz w:val="28"/>
                <w:szCs w:val="28"/>
              </w:rPr>
            </w:pPr>
            <w:bookmarkStart w:id="426" w:name="_Toc15829"/>
            <w:bookmarkStart w:id="427" w:name="_Toc93540398"/>
            <w:bookmarkStart w:id="428" w:name="_Toc97033802"/>
            <w:r>
              <w:rPr>
                <w:rFonts w:ascii="Times New Roman" w:hAnsi="Times New Roman"/>
                <w:b w:val="0"/>
                <w:sz w:val="28"/>
                <w:szCs w:val="28"/>
              </w:rPr>
              <w:t>专栏</w:t>
            </w:r>
            <w:bookmarkEnd w:id="426"/>
            <w:r>
              <w:rPr>
                <w:rFonts w:ascii="Times New Roman" w:hAnsi="Times New Roman"/>
                <w:b w:val="0"/>
                <w:sz w:val="28"/>
                <w:szCs w:val="28"/>
              </w:rPr>
              <w:t>7 农民收入增长重大工程</w:t>
            </w:r>
            <w:bookmarkEnd w:id="427"/>
            <w:bookmarkEnd w:id="428"/>
          </w:p>
        </w:tc>
      </w:tr>
      <w:tr w14:paraId="2B37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5" w:type="dxa"/>
          </w:tcPr>
          <w:p w14:paraId="5A5E6FA0">
            <w:pPr>
              <w:ind w:firstLine="562"/>
              <w:rPr>
                <w:bCs/>
                <w:szCs w:val="28"/>
              </w:rPr>
            </w:pPr>
            <w:r>
              <w:rPr>
                <w:rFonts w:eastAsia="楷体_GB2312"/>
                <w:b/>
                <w:bCs/>
                <w:szCs w:val="28"/>
              </w:rPr>
              <w:t>高素质农民培育计划。</w:t>
            </w:r>
            <w:r>
              <w:rPr>
                <w:bCs/>
                <w:szCs w:val="28"/>
              </w:rPr>
              <w:t>整合利用各类教育培训资源，健全分层分类、训育结合工作机制，采取课堂教学、实习实训、线上学习、现场观摩、指导服务等形式开展全产业链培训，培养造就一支懂技术、有文化、善经营的高素质农民队伍。“十四五”期间，培育高素质农民1500人次以上。</w:t>
            </w:r>
          </w:p>
          <w:p w14:paraId="66CA3C2E">
            <w:pPr>
              <w:ind w:firstLine="562"/>
              <w:rPr>
                <w:szCs w:val="28"/>
              </w:rPr>
            </w:pPr>
            <w:r>
              <w:rPr>
                <w:rFonts w:eastAsia="楷体_GB2312"/>
                <w:b/>
                <w:bCs/>
                <w:szCs w:val="28"/>
              </w:rPr>
              <w:t>农民收入跃升计划。</w:t>
            </w:r>
            <w:r>
              <w:rPr>
                <w:bCs/>
                <w:szCs w:val="28"/>
              </w:rPr>
              <w:t>实施农村居民工资性收入倍增、财产性收入扩量、经营性收入壮大、转移性收入提升四项行动，因地制宜、精准施策、分类推进，促进农民收入大幅度增长，力争到2025年，农村居民人均可支配收入达到24300元。</w:t>
            </w:r>
          </w:p>
        </w:tc>
      </w:tr>
    </w:tbl>
    <w:p w14:paraId="3F8190C7">
      <w:pPr>
        <w:ind w:firstLine="640"/>
        <w:rPr>
          <w:rFonts w:eastAsia="黑体"/>
          <w:kern w:val="44"/>
          <w:sz w:val="36"/>
          <w:szCs w:val="36"/>
        </w:rPr>
        <w:sectPr>
          <w:pgSz w:w="11906" w:h="16838"/>
          <w:pgMar w:top="1871" w:right="1588" w:bottom="1588" w:left="1588" w:header="1134" w:footer="907" w:gutter="0"/>
          <w:cols w:space="720" w:num="1"/>
          <w:docGrid w:type="linesAndChars" w:linePitch="445" w:charSpace="-1472"/>
        </w:sectPr>
      </w:pPr>
    </w:p>
    <w:p w14:paraId="69B5ADC7">
      <w:pPr>
        <w:pStyle w:val="2"/>
        <w:spacing w:before="312" w:after="312" w:line="600" w:lineRule="exact"/>
        <w:jc w:val="center"/>
        <w:rPr>
          <w:rFonts w:ascii="Times New Roman" w:hAnsi="Times New Roman" w:eastAsia="方正小标宋简体"/>
          <w:b w:val="0"/>
          <w:sz w:val="36"/>
          <w:szCs w:val="36"/>
        </w:rPr>
      </w:pPr>
      <w:bookmarkStart w:id="429" w:name="_Toc11347"/>
      <w:bookmarkStart w:id="430" w:name="_Toc22333"/>
      <w:bookmarkStart w:id="431" w:name="_Toc97033803"/>
      <w:bookmarkStart w:id="432" w:name="_Toc4108"/>
      <w:bookmarkStart w:id="433" w:name="_Toc5474"/>
      <w:bookmarkStart w:id="434" w:name="_Toc9132"/>
      <w:r>
        <w:rPr>
          <w:rFonts w:ascii="Times New Roman" w:hAnsi="Times New Roman" w:eastAsia="方正小标宋简体"/>
          <w:b w:val="0"/>
          <w:sz w:val="36"/>
          <w:szCs w:val="36"/>
        </w:rPr>
        <w:t>十二、健全规划落实机制</w:t>
      </w:r>
      <w:bookmarkEnd w:id="429"/>
      <w:bookmarkEnd w:id="430"/>
      <w:bookmarkEnd w:id="431"/>
      <w:bookmarkEnd w:id="432"/>
      <w:bookmarkEnd w:id="433"/>
      <w:bookmarkEnd w:id="434"/>
    </w:p>
    <w:p w14:paraId="6712D81A">
      <w:pPr>
        <w:ind w:firstLine="640"/>
        <w:rPr>
          <w:kern w:val="0"/>
          <w:szCs w:val="28"/>
        </w:rPr>
      </w:pPr>
      <w:bookmarkStart w:id="435" w:name="_Toc29044"/>
      <w:r>
        <w:rPr>
          <w:kern w:val="0"/>
          <w:szCs w:val="28"/>
        </w:rPr>
        <w:t>坚持党的全面领导，充分发挥规划的战略导向作用，统筹财政、金融、就业、产业、投资等政策工具，建立完善规划实施机制，推动各项目标任务落到实处。</w:t>
      </w:r>
    </w:p>
    <w:p w14:paraId="7DFF4D4F">
      <w:pPr>
        <w:pStyle w:val="3"/>
        <w:spacing w:beforeLines="50" w:afterLines="50" w:line="240" w:lineRule="auto"/>
        <w:ind w:firstLine="641"/>
        <w:jc w:val="left"/>
        <w:rPr>
          <w:rFonts w:ascii="Times New Roman" w:hAnsi="Times New Roman"/>
          <w:b w:val="0"/>
          <w:sz w:val="30"/>
          <w:szCs w:val="30"/>
        </w:rPr>
      </w:pPr>
      <w:bookmarkStart w:id="436" w:name="_Toc14323"/>
      <w:bookmarkStart w:id="437" w:name="_Toc5922"/>
      <w:bookmarkStart w:id="438" w:name="_Toc97033804"/>
      <w:bookmarkStart w:id="439" w:name="_Toc24242"/>
      <w:bookmarkStart w:id="440" w:name="_Toc17395"/>
      <w:bookmarkStart w:id="441" w:name="_Toc12400"/>
      <w:bookmarkStart w:id="442" w:name="_Toc1054"/>
      <w:bookmarkStart w:id="443" w:name="_Toc6354"/>
      <w:bookmarkStart w:id="444" w:name="_Toc5837"/>
      <w:r>
        <w:rPr>
          <w:rFonts w:ascii="Times New Roman" w:hAnsi="Times New Roman"/>
          <w:b w:val="0"/>
          <w:sz w:val="30"/>
          <w:szCs w:val="30"/>
        </w:rPr>
        <w:t>（一）加强党的领导</w:t>
      </w:r>
      <w:bookmarkEnd w:id="436"/>
      <w:bookmarkEnd w:id="437"/>
      <w:bookmarkEnd w:id="438"/>
      <w:bookmarkEnd w:id="439"/>
      <w:bookmarkEnd w:id="440"/>
      <w:bookmarkEnd w:id="441"/>
      <w:bookmarkEnd w:id="442"/>
      <w:bookmarkEnd w:id="443"/>
      <w:bookmarkEnd w:id="444"/>
    </w:p>
    <w:p w14:paraId="3F93FF52">
      <w:pPr>
        <w:pStyle w:val="19"/>
        <w:spacing w:after="0"/>
        <w:ind w:left="0" w:leftChars="0" w:firstLine="546"/>
        <w:rPr>
          <w:szCs w:val="28"/>
        </w:rPr>
      </w:pPr>
      <w:r>
        <w:rPr>
          <w:szCs w:val="28"/>
        </w:rPr>
        <w:t>深入贯彻落实《中国共产党农村工作条例》，坚持和加强党对农村工作的全面领导，落实党政一把手是第一责任人，五级书记抓乡村振兴的工作要求。建立健全农业农村现代化建设重大事项、重要问题、重要工作由党组织讨论决定的机制，区委书记要当好“一线总指挥”，要工业农业一起抓，城市农村一起抓，把农业农村优先发展总方针落实到各个方面，区直相关部门要各司其职，围绕规划部署的重大工程、重大项目和行动计划，研究制定一批专项规划、实施意见和工作方案，落实重点任务和相关政策措施，协调解决规划实施涉及的重大问题，加强政策衔接和工作协调，加快形成以农业农村部门为主导、多部门密切配合的规划实施和工作推进机制。各乡镇要树立“一盘棋”思想，对标规划目标任务，确保各项工作高质量落实。</w:t>
      </w:r>
    </w:p>
    <w:p w14:paraId="383E5CF9">
      <w:pPr>
        <w:pStyle w:val="3"/>
        <w:spacing w:beforeLines="50" w:afterLines="50" w:line="240" w:lineRule="auto"/>
        <w:ind w:firstLine="641"/>
        <w:jc w:val="left"/>
        <w:rPr>
          <w:rFonts w:ascii="Times New Roman" w:hAnsi="Times New Roman"/>
        </w:rPr>
      </w:pPr>
      <w:bookmarkStart w:id="445" w:name="_Toc11444"/>
      <w:bookmarkStart w:id="446" w:name="_Toc31483"/>
      <w:bookmarkStart w:id="447" w:name="_Toc13366"/>
      <w:bookmarkStart w:id="448" w:name="_Toc30015"/>
      <w:bookmarkStart w:id="449" w:name="_Toc15420"/>
      <w:bookmarkStart w:id="450" w:name="_Toc97033805"/>
      <w:bookmarkStart w:id="451" w:name="_Toc19862"/>
      <w:bookmarkStart w:id="452" w:name="_Toc20691"/>
      <w:bookmarkStart w:id="453" w:name="_Toc3397"/>
      <w:r>
        <w:rPr>
          <w:rFonts w:ascii="Times New Roman" w:hAnsi="Times New Roman"/>
        </w:rPr>
        <w:t>（二）扩大有效</w:t>
      </w:r>
      <w:bookmarkEnd w:id="445"/>
      <w:bookmarkEnd w:id="446"/>
      <w:bookmarkEnd w:id="447"/>
      <w:r>
        <w:rPr>
          <w:rFonts w:ascii="Times New Roman" w:hAnsi="Times New Roman"/>
        </w:rPr>
        <w:t>投资</w:t>
      </w:r>
      <w:bookmarkEnd w:id="448"/>
      <w:bookmarkEnd w:id="449"/>
      <w:bookmarkEnd w:id="450"/>
      <w:bookmarkEnd w:id="451"/>
      <w:bookmarkEnd w:id="452"/>
      <w:bookmarkEnd w:id="453"/>
    </w:p>
    <w:bookmarkEnd w:id="435"/>
    <w:p w14:paraId="6AEE698E">
      <w:pPr>
        <w:pStyle w:val="19"/>
        <w:spacing w:after="0"/>
        <w:ind w:left="0" w:leftChars="0" w:firstLine="546"/>
        <w:rPr>
          <w:szCs w:val="28"/>
        </w:rPr>
      </w:pPr>
      <w:r>
        <w:rPr>
          <w:szCs w:val="28"/>
        </w:rPr>
        <w:t>坚持把农业农村作为财政优先保障领域，公共财政更大力度向“三农”倾斜，积极争取中央预算内投资，加大对补短板重大工程项目的支持力度。扎实开展新增耕地指标和城乡建设用地增减挂钩节余指标调剂使用，支持购买使用巩固脱贫攻坚成果和乡村振兴任务重的地区的增减挂钩节余指标和新增耕地指标，所得收益全部用于巩固脱贫攻坚成果和支持乡村振兴。按规定推进涉农资金统筹整合，支持重点项目建设。按照国家规定调整完善土地出让收入使用范围，进一步提高农业农村投入比例，到“十四五”末全区土地出让收益用于农业农村比例达到50%以上。扩大政府债券用于农业农村规模，统筹安排新增一般债券用于符合条件的乡村振兴项目建设，利用专项债券政策加大对农业农村基础设施等重大项目的支持力度。扩大以工代赈规模，重点支持农村小型基础设施项目建设，引导农民投工投劳，增加就地就近就业岗位。稳定种粮农民补贴，让种粮有合理收益。执行稻谷、小麦最低收购价政策。</w:t>
      </w:r>
    </w:p>
    <w:p w14:paraId="30472A25">
      <w:pPr>
        <w:pStyle w:val="3"/>
        <w:spacing w:beforeLines="50" w:afterLines="50" w:line="240" w:lineRule="auto"/>
        <w:ind w:firstLine="641"/>
        <w:jc w:val="left"/>
        <w:rPr>
          <w:rFonts w:ascii="Times New Roman" w:hAnsi="Times New Roman"/>
          <w:b w:val="0"/>
          <w:sz w:val="30"/>
          <w:szCs w:val="30"/>
        </w:rPr>
      </w:pPr>
      <w:bookmarkStart w:id="454" w:name="_Toc8263"/>
      <w:bookmarkStart w:id="455" w:name="_Toc97033806"/>
      <w:bookmarkStart w:id="456" w:name="_Toc90398764"/>
      <w:bookmarkStart w:id="457" w:name="_Toc21337"/>
      <w:bookmarkStart w:id="458" w:name="_Toc32674"/>
      <w:bookmarkStart w:id="459" w:name="_Toc1562"/>
      <w:bookmarkStart w:id="460" w:name="_Toc30283"/>
      <w:bookmarkStart w:id="461" w:name="_Toc3843"/>
      <w:bookmarkStart w:id="462" w:name="_Toc12286"/>
      <w:bookmarkStart w:id="463" w:name="_Toc7634"/>
      <w:bookmarkStart w:id="464" w:name="_Toc5282"/>
      <w:r>
        <w:rPr>
          <w:rFonts w:ascii="Times New Roman" w:hAnsi="Times New Roman"/>
          <w:b w:val="0"/>
          <w:sz w:val="30"/>
          <w:szCs w:val="30"/>
        </w:rPr>
        <w:t>（三）强化“双招双引”</w:t>
      </w:r>
      <w:bookmarkEnd w:id="454"/>
      <w:bookmarkEnd w:id="455"/>
      <w:bookmarkEnd w:id="456"/>
      <w:bookmarkEnd w:id="457"/>
      <w:bookmarkEnd w:id="458"/>
    </w:p>
    <w:p w14:paraId="10C0AB9A">
      <w:pPr>
        <w:ind w:firstLine="640"/>
        <w:rPr>
          <w:kern w:val="0"/>
          <w:szCs w:val="28"/>
        </w:rPr>
      </w:pPr>
      <w:r>
        <w:rPr>
          <w:kern w:val="0"/>
          <w:szCs w:val="28"/>
        </w:rPr>
        <w:t>建立农业农村“双招双引”工作专班，组建农业农村现代化建设专家库，形成招商引资、招才引智重大项目库和优势特色产业清单，梳理国内外农业“头部”企业，发布产业招商地图，聚焦长三角、珠三角和京津冀等重点区域，开展专业化、市场化、社会化“双招双引”，对重大招商引资项目实行“一企一策”。充分利用各类会展平台，多渠道招商邀商，开展项目对接和产品推介，搭建投资平台。深入实施“四送一服”双千工程，加强招商引资项目跟踪服务，加大推进力度，抓好项目落地、开工建设。强化人才支撑，依托大专院校、科研院所培养农业生产经营、农村二三产业发展、乡村公共服务、乡村治理、农业农村科技等农业农村人才，鼓励企业面向生产经营实际需要开展招才引智。建立健全专业人才统筹使用管理制度，提高农业农村专业人才服务保障能力。</w:t>
      </w:r>
      <w:bookmarkEnd w:id="459"/>
      <w:bookmarkEnd w:id="460"/>
      <w:bookmarkEnd w:id="461"/>
      <w:bookmarkEnd w:id="462"/>
      <w:bookmarkEnd w:id="463"/>
      <w:bookmarkEnd w:id="464"/>
      <w:bookmarkStart w:id="465" w:name="_Toc24510"/>
    </w:p>
    <w:bookmarkEnd w:id="465"/>
    <w:p w14:paraId="7BE39E38">
      <w:pPr>
        <w:pStyle w:val="3"/>
        <w:spacing w:beforeLines="50" w:afterLines="50" w:line="240" w:lineRule="auto"/>
        <w:ind w:firstLine="641"/>
        <w:jc w:val="left"/>
        <w:rPr>
          <w:rFonts w:ascii="Times New Roman" w:hAnsi="Times New Roman"/>
          <w:b w:val="0"/>
          <w:sz w:val="30"/>
          <w:szCs w:val="30"/>
        </w:rPr>
      </w:pPr>
      <w:bookmarkStart w:id="466" w:name="_Toc30154"/>
      <w:bookmarkStart w:id="467" w:name="_Toc21361"/>
      <w:bookmarkStart w:id="468" w:name="_Toc10729"/>
      <w:bookmarkStart w:id="469" w:name="_Toc13187"/>
      <w:bookmarkStart w:id="470" w:name="_Toc23528"/>
      <w:bookmarkStart w:id="471" w:name="_Toc7776"/>
      <w:bookmarkStart w:id="472" w:name="_Toc256"/>
      <w:bookmarkStart w:id="473" w:name="_Toc97033807"/>
      <w:bookmarkStart w:id="474" w:name="_Toc32374"/>
      <w:bookmarkStart w:id="475" w:name="_Toc6133"/>
      <w:bookmarkStart w:id="476" w:name="_Toc9323"/>
      <w:bookmarkStart w:id="477" w:name="_Toc29730"/>
      <w:bookmarkStart w:id="478" w:name="_Toc23921"/>
      <w:r>
        <w:rPr>
          <w:rFonts w:ascii="Times New Roman" w:hAnsi="Times New Roman"/>
          <w:b w:val="0"/>
          <w:sz w:val="30"/>
          <w:szCs w:val="30"/>
        </w:rPr>
        <w:t>（四）强化用地保障</w:t>
      </w:r>
      <w:bookmarkEnd w:id="466"/>
      <w:bookmarkEnd w:id="467"/>
      <w:bookmarkEnd w:id="468"/>
      <w:bookmarkEnd w:id="469"/>
      <w:bookmarkEnd w:id="470"/>
      <w:bookmarkEnd w:id="471"/>
      <w:bookmarkEnd w:id="472"/>
      <w:bookmarkEnd w:id="473"/>
      <w:bookmarkEnd w:id="474"/>
    </w:p>
    <w:p w14:paraId="50B88D84">
      <w:pPr>
        <w:ind w:firstLine="640"/>
        <w:rPr>
          <w:szCs w:val="28"/>
        </w:rPr>
      </w:pPr>
      <w:r>
        <w:rPr>
          <w:szCs w:val="28"/>
        </w:rPr>
        <w:t>完善乡村产业发展用地政策体系，明确用地类型和供地方式，实现分类管理。落实农业设施用地政策，满足新型农业经营主体在仓储、加工、农业机械停放等方面的用地合理需求。积极开展乡村全域土地综合整治试点。在符合国土空间规划前提下，通过村庄整治、土地整理等方式节余的农村集体建设用地优先用于发展乡村产业项目。鼓励农业生产和村庄建设等用地复合利用，提高土地节约集约利用水平。探索建设用地规模预留和规划“留白”机制，新编区乡级国土空间规划应安排不少于10%的建设用地指标，重点保障乡村产业、现代种业发展用地。鼓励和支持农村集体建设用地通过入股、租用等方式直接用于发展乡村产业。按照“放管服”改革要求，简化农村集体建设用地审批审核程序，下放审批权限。推进乡村建设审批“多审合一、多证合一”改革。</w:t>
      </w:r>
    </w:p>
    <w:p w14:paraId="06905609">
      <w:pPr>
        <w:pStyle w:val="3"/>
        <w:spacing w:before="0" w:afterLines="50" w:line="240" w:lineRule="auto"/>
        <w:ind w:firstLine="641"/>
        <w:jc w:val="left"/>
        <w:rPr>
          <w:rFonts w:ascii="Times New Roman" w:hAnsi="Times New Roman"/>
          <w:b w:val="0"/>
          <w:sz w:val="30"/>
          <w:szCs w:val="30"/>
        </w:rPr>
      </w:pPr>
      <w:bookmarkStart w:id="479" w:name="_Toc97033808"/>
      <w:r>
        <w:rPr>
          <w:rFonts w:ascii="Times New Roman" w:hAnsi="Times New Roman"/>
          <w:b w:val="0"/>
          <w:sz w:val="30"/>
          <w:szCs w:val="30"/>
        </w:rPr>
        <w:t>（五）健全法</w:t>
      </w:r>
      <w:r>
        <w:rPr>
          <w:rFonts w:hint="eastAsia" w:ascii="Times New Roman" w:hAnsi="Times New Roman"/>
          <w:b w:val="0"/>
          <w:sz w:val="30"/>
          <w:szCs w:val="30"/>
          <w:lang w:val="en-US" w:eastAsia="zh-CN"/>
        </w:rPr>
        <w:t>制</w:t>
      </w:r>
      <w:r>
        <w:rPr>
          <w:rFonts w:ascii="Times New Roman" w:hAnsi="Times New Roman"/>
          <w:b w:val="0"/>
          <w:sz w:val="30"/>
          <w:szCs w:val="30"/>
        </w:rPr>
        <w:t>保障</w:t>
      </w:r>
      <w:bookmarkEnd w:id="479"/>
    </w:p>
    <w:p w14:paraId="28AD1048">
      <w:pPr>
        <w:ind w:firstLine="640"/>
        <w:rPr>
          <w:szCs w:val="28"/>
        </w:rPr>
      </w:pPr>
      <w:r>
        <w:rPr>
          <w:szCs w:val="28"/>
        </w:rPr>
        <w:t>常态化开展法律法规规章和行政规范性文件立改废释工作，构建完备的涉农法律规范体系。加大执法人员培训力度，改善执法装备条件，推进执法信息化建设，健全机制、提升能力、强化办案，不断深化农业综合行政执法改革。落实《安徽省农业农村系统法治宣传教育第八个五年规划》，推进乡村法治文化建设，创新普法形式，壮大普法力量，深入开展农业农村法治宣传教育专项行动，切实维护农民群众合法权益，努力营造良好市场环境，为加快农业农村现代化提供坚强法治保障。</w:t>
      </w:r>
    </w:p>
    <w:p w14:paraId="211CAB93">
      <w:pPr>
        <w:pStyle w:val="3"/>
        <w:spacing w:beforeLines="50" w:afterLines="50" w:line="240" w:lineRule="auto"/>
        <w:ind w:firstLine="641"/>
        <w:jc w:val="left"/>
        <w:rPr>
          <w:rFonts w:ascii="Times New Roman" w:hAnsi="Times New Roman"/>
          <w:b w:val="0"/>
          <w:sz w:val="30"/>
          <w:szCs w:val="30"/>
        </w:rPr>
      </w:pPr>
      <w:bookmarkStart w:id="480" w:name="_Toc97033809"/>
      <w:bookmarkStart w:id="481" w:name="_Toc18007"/>
      <w:bookmarkStart w:id="482" w:name="_Toc6980"/>
      <w:bookmarkStart w:id="483" w:name="_Toc9606"/>
      <w:bookmarkStart w:id="484" w:name="_Toc2610"/>
      <w:bookmarkStart w:id="485" w:name="_Toc1297"/>
      <w:r>
        <w:rPr>
          <w:rFonts w:ascii="Times New Roman" w:hAnsi="Times New Roman"/>
          <w:b w:val="0"/>
          <w:sz w:val="30"/>
          <w:szCs w:val="30"/>
        </w:rPr>
        <w:t>（六）加强考核评估</w:t>
      </w:r>
      <w:bookmarkEnd w:id="475"/>
      <w:bookmarkEnd w:id="476"/>
      <w:bookmarkEnd w:id="477"/>
      <w:bookmarkEnd w:id="480"/>
      <w:bookmarkEnd w:id="481"/>
      <w:bookmarkEnd w:id="482"/>
      <w:bookmarkEnd w:id="483"/>
      <w:bookmarkEnd w:id="484"/>
      <w:bookmarkEnd w:id="485"/>
    </w:p>
    <w:p w14:paraId="04C97017">
      <w:pPr>
        <w:pStyle w:val="19"/>
        <w:spacing w:after="0"/>
        <w:ind w:left="0" w:leftChars="0" w:firstLine="546"/>
        <w:rPr>
          <w:szCs w:val="28"/>
        </w:rPr>
      </w:pPr>
      <w:r>
        <w:rPr>
          <w:szCs w:val="28"/>
        </w:rPr>
        <w:t>将农业农村现代化规划实施成效纳入乡镇党委、政府及有关部门的年度绩效考评内容，考核结果作为各级党政干部年度考核、选拔任用的重要依据，确保各项目标任务完成。规划确定的约束性指标以及重大工程、重大政策和重要改革任务，要明确责任主体和进度要求，确保质量和效果。加强乡村统计工作，建立健全客观反映裕安区农业农村现代化进展的指标和统计体系。建立规划实施督促检查机制，引入规划实施第三方评估机制，公正客观开展规划实施的年度评估和中期评估</w:t>
      </w:r>
      <w:bookmarkEnd w:id="478"/>
      <w:r>
        <w:rPr>
          <w:szCs w:val="28"/>
        </w:rPr>
        <w:t>。</w:t>
      </w:r>
    </w:p>
    <w:p w14:paraId="2DAA3F6C">
      <w:pPr>
        <w:jc w:val="left"/>
        <w:rPr>
          <w:szCs w:val="32"/>
        </w:rPr>
      </w:pPr>
    </w:p>
    <w:p w14:paraId="3F6CDBDB">
      <w:pPr>
        <w:jc w:val="left"/>
        <w:rPr>
          <w:szCs w:val="32"/>
        </w:rPr>
      </w:pPr>
    </w:p>
    <w:p w14:paraId="6FA2E769">
      <w:pPr>
        <w:jc w:val="left"/>
        <w:rPr>
          <w:szCs w:val="32"/>
        </w:rPr>
      </w:pPr>
    </w:p>
    <w:p w14:paraId="762F96E3">
      <w:pPr>
        <w:spacing w:line="600" w:lineRule="exact"/>
        <w:jc w:val="left"/>
        <w:rPr>
          <w:szCs w:val="32"/>
        </w:rPr>
      </w:pPr>
    </w:p>
    <w:p w14:paraId="348A3F21">
      <w:pPr>
        <w:spacing w:line="600" w:lineRule="exact"/>
        <w:jc w:val="left"/>
        <w:rPr>
          <w:szCs w:val="32"/>
        </w:rPr>
      </w:pPr>
    </w:p>
    <w:p w14:paraId="213F4C6A"/>
    <w:p w14:paraId="54A49423"/>
    <w:p w14:paraId="03268982"/>
    <w:p w14:paraId="5E71B06C"/>
    <w:p w14:paraId="38A21F98"/>
    <w:p w14:paraId="729DDBC6"/>
    <w:p w14:paraId="3C765DF2"/>
    <w:p w14:paraId="71AE20EC"/>
    <w:p w14:paraId="1766AFB8"/>
    <w:p w14:paraId="637B9DEC"/>
    <w:p w14:paraId="1F916DD7"/>
    <w:p w14:paraId="01075127"/>
    <w:p w14:paraId="7BBF93F8"/>
    <w:p w14:paraId="2EAA217D"/>
    <w:p w14:paraId="6F06E026"/>
    <w:p w14:paraId="40FC42E0"/>
    <w:p w14:paraId="0D7B0FBE"/>
    <w:p w14:paraId="41C07BE6"/>
    <w:p w14:paraId="554AFA76"/>
    <w:p w14:paraId="686290D5"/>
    <w:p w14:paraId="40116CDB"/>
    <w:p w14:paraId="4EED8722"/>
    <w:p w14:paraId="1D997860"/>
    <w:p w14:paraId="691C6927"/>
    <w:p w14:paraId="67EADF91"/>
    <w:p w14:paraId="502A8B1E"/>
    <w:p w14:paraId="2EC47EE0"/>
    <w:p w14:paraId="3CBF4337"/>
    <w:p w14:paraId="4A76768F"/>
    <w:p w14:paraId="0E2C645F"/>
    <w:p w14:paraId="71E877D4"/>
    <w:p w14:paraId="6719848F"/>
    <w:p w14:paraId="3550C5CF"/>
    <w:p w14:paraId="7C5029E4"/>
    <w:p w14:paraId="214438C2">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254000</wp:posOffset>
                </wp:positionV>
                <wp:extent cx="5579745" cy="0"/>
                <wp:effectExtent l="0" t="5080" r="0" b="4445"/>
                <wp:wrapNone/>
                <wp:docPr id="1" name="直线 7"/>
                <wp:cNvGraphicFramePr/>
                <a:graphic xmlns:a="http://schemas.openxmlformats.org/drawingml/2006/main">
                  <a:graphicData uri="http://schemas.microsoft.com/office/word/2010/wordprocessingShape">
                    <wps:wsp>
                      <wps:cNvSp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20pt;height:0pt;width:439.35pt;z-index:251659264;mso-width-relative:page;mso-height-relative:page;" filled="f" stroked="t" coordsize="21600,21600" o:gfxdata="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2YActQAAAAG&#10;AQAADwAAAAAAAAABACAAAAAiAAAAZHJzL2Rvd25yZXYueG1sUEsBAhQAFAAAAAgAh07iQLejA1Hn&#10;AQAA2wMAAA4AAAAAAAAAAQAgAAAAIwEAAGRycy9lMm9Eb2MueG1sUEsFBgAAAAAGAAYAWQEAAHwF&#10;AAAAAA==&#10;">
                <v:fill on="f" focussize="0,0"/>
                <v:stroke color="#000000" joinstyle="round"/>
                <v:imagedata o:title=""/>
                <o:lock v:ext="edit" aspectratio="f"/>
              </v:line>
            </w:pict>
          </mc:Fallback>
        </mc:AlternateContent>
      </w:r>
    </w:p>
    <w:p w14:paraId="0A5DD508">
      <w:pPr>
        <w:ind w:firstLine="268" w:firstLineChars="98"/>
        <w:rPr>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326390</wp:posOffset>
                </wp:positionV>
                <wp:extent cx="5579745" cy="0"/>
                <wp:effectExtent l="0" t="5080" r="0" b="4445"/>
                <wp:wrapNone/>
                <wp:docPr id="2" name="直线 8"/>
                <wp:cNvGraphicFramePr/>
                <a:graphic xmlns:a="http://schemas.openxmlformats.org/drawingml/2006/main">
                  <a:graphicData uri="http://schemas.microsoft.com/office/word/2010/wordprocessingShape">
                    <wps:wsp>
                      <wps:cNvSp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25.7pt;height:0pt;width:439.35pt;z-index:251659264;mso-width-relative:page;mso-height-relative:page;" filled="f" stroked="t" coordsize="21600,21600" o:gfxdata="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2H9VNQAAAAG&#10;AQAADwAAAAAAAAABACAAAAAiAAAAZHJzL2Rvd25yZXYueG1sUEsBAhQAFAAAAAgAh07iQKTGt2Xn&#10;AQAA2wMAAA4AAAAAAAAAAQAgAAAAIwEAAGRycy9lMm9Eb2MueG1sUEsFBgAAAAAGAAYAWQEAAHwF&#10;AAAAAA==&#10;">
                <v:fill on="f" focussize="0,0"/>
                <v:stroke color="#000000" joinstyle="round"/>
                <v:imagedata o:title=""/>
                <o:lock v:ext="edit" aspectratio="f"/>
              </v:line>
            </w:pict>
          </mc:Fallback>
        </mc:AlternateContent>
      </w:r>
      <w:r>
        <w:rPr>
          <w:szCs w:val="28"/>
        </w:rPr>
        <w:t>六安市裕安区农业农村局办公室              2022年5月30日印发</w:t>
      </w:r>
    </w:p>
    <w:sectPr>
      <w:pgSz w:w="11906" w:h="16838"/>
      <w:pgMar w:top="1871" w:right="1588" w:bottom="1588" w:left="1588" w:header="1134" w:footer="907" w:gutter="0"/>
      <w:cols w:space="425" w:num="1"/>
      <w:docGrid w:type="linesAndChars" w:linePitch="445" w:charSpace="-14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7117D">
    <w:pPr>
      <w:pStyle w:val="11"/>
      <w:framePr w:wrap="around" w:vAnchor="text" w:hAnchor="margin" w:xAlign="center" w:y="1"/>
      <w:ind w:firstLine="360"/>
      <w:rPr>
        <w:rStyle w:val="23"/>
      </w:rPr>
    </w:pPr>
    <w:r>
      <w:rPr>
        <w:rStyle w:val="23"/>
      </w:rPr>
      <w:fldChar w:fldCharType="begin"/>
    </w:r>
    <w:r>
      <w:rPr>
        <w:rStyle w:val="23"/>
      </w:rPr>
      <w:instrText xml:space="preserve">PAGE  </w:instrText>
    </w:r>
    <w:r>
      <w:rPr>
        <w:rStyle w:val="23"/>
      </w:rPr>
      <w:fldChar w:fldCharType="separate"/>
    </w:r>
    <w:r>
      <w:rPr>
        <w:rStyle w:val="23"/>
      </w:rPr>
      <w:t>III</w:t>
    </w:r>
    <w:r>
      <w:rPr>
        <w:rStyle w:val="23"/>
      </w:rPr>
      <w:fldChar w:fldCharType="end"/>
    </w:r>
  </w:p>
  <w:p w14:paraId="6EC2B165">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3556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304800" cy="355600"/>
                      </a:xfrm>
                      <a:prstGeom prst="rect">
                        <a:avLst/>
                      </a:prstGeom>
                      <a:noFill/>
                      <a:ln>
                        <a:noFill/>
                      </a:ln>
                    </wps:spPr>
                    <wps:txbx>
                      <w:txbxContent>
                        <w:p w14:paraId="52AFF583">
                          <w:pPr>
                            <w:pStyle w:val="11"/>
                            <w:ind w:firstLine="360"/>
                          </w:pPr>
                          <w:r>
                            <w:fldChar w:fldCharType="begin"/>
                          </w:r>
                          <w:r>
                            <w:instrText xml:space="preserve"> PAGE  \* MERGEFORMAT </w:instrText>
                          </w:r>
                          <w:r>
                            <w:fldChar w:fldCharType="separate"/>
                          </w:r>
                          <w:r>
                            <w:t>III</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28pt;width:24pt;mso-position-horizontal:center;mso-position-horizontal-relative:margin;mso-wrap-style:none;z-index:251659264;mso-width-relative:page;mso-height-relative:page;" filled="f" stroked="f" coordsize="21600,21600" o:gfxdata="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dVhtNAAAAADAQAADwAAAAAAAAABACAAAAAiAAAAZHJzL2Rvd25y&#10;ZXYueG1sUEsBAhQAFAAAAAgAh07iQGK5ha/NAQAAlwMAAA4AAAAAAAAAAQAgAAAAHwEAAGRycy9l&#10;Mm9Eb2MueG1sUEsFBgAAAAAGAAYAWQEAAF4FAAAAAA==&#10;">
              <v:fill on="f" focussize="0,0"/>
              <v:stroke on="f"/>
              <v:imagedata o:title=""/>
              <o:lock v:ext="edit" aspectratio="f"/>
              <v:textbox inset="0mm,0mm,0mm,0mm" style="mso-fit-shape-to-text:t;">
                <w:txbxContent>
                  <w:p w14:paraId="52AFF583">
                    <w:pPr>
                      <w:pStyle w:val="11"/>
                      <w:ind w:firstLine="36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0097">
    <w:pPr>
      <w:pStyle w:val="11"/>
      <w:framePr w:wrap="around" w:vAnchor="text" w:hAnchor="margin" w:xAlign="outside" w:y="1"/>
      <w:ind w:firstLine="360"/>
      <w:rPr>
        <w:rStyle w:val="23"/>
      </w:rPr>
    </w:pPr>
    <w:r>
      <w:rPr>
        <w:rStyle w:val="23"/>
      </w:rPr>
      <w:fldChar w:fldCharType="begin"/>
    </w:r>
    <w:r>
      <w:rPr>
        <w:rStyle w:val="23"/>
      </w:rPr>
      <w:instrText xml:space="preserve">PAGE  </w:instrText>
    </w:r>
    <w:r>
      <w:rPr>
        <w:rStyle w:val="23"/>
      </w:rPr>
      <w:fldChar w:fldCharType="end"/>
    </w:r>
  </w:p>
  <w:p w14:paraId="58050A59">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509C">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1ADF">
    <w:pPr>
      <w:pStyle w:val="11"/>
      <w:framePr w:w="1141" w:wrap="around" w:vAnchor="text" w:hAnchor="margin" w:xAlign="outside" w:y="-120"/>
      <w:snapToGrid/>
      <w:spacing w:line="240" w:lineRule="auto"/>
      <w:ind w:firstLine="0" w:firstLineChars="0"/>
      <w:jc w:val="center"/>
      <w:rPr>
        <w:rStyle w:val="23"/>
        <w:sz w:val="28"/>
        <w:szCs w:val="28"/>
      </w:rPr>
    </w:pPr>
    <w:r>
      <w:rPr>
        <w:rStyle w:val="23"/>
        <w:sz w:val="28"/>
        <w:szCs w:val="28"/>
      </w:rPr>
      <w:t xml:space="preserve">— </w:t>
    </w:r>
    <w:r>
      <w:rPr>
        <w:rStyle w:val="23"/>
        <w:sz w:val="28"/>
        <w:szCs w:val="28"/>
      </w:rPr>
      <w:fldChar w:fldCharType="begin"/>
    </w:r>
    <w:r>
      <w:rPr>
        <w:rStyle w:val="23"/>
        <w:sz w:val="28"/>
        <w:szCs w:val="28"/>
      </w:rPr>
      <w:instrText xml:space="preserve">PAGE  </w:instrText>
    </w:r>
    <w:r>
      <w:rPr>
        <w:rStyle w:val="23"/>
        <w:sz w:val="28"/>
        <w:szCs w:val="28"/>
      </w:rPr>
      <w:fldChar w:fldCharType="separate"/>
    </w:r>
    <w:r>
      <w:rPr>
        <w:rStyle w:val="23"/>
        <w:sz w:val="28"/>
        <w:szCs w:val="28"/>
      </w:rPr>
      <w:t>56</w:t>
    </w:r>
    <w:r>
      <w:rPr>
        <w:rStyle w:val="23"/>
        <w:sz w:val="28"/>
        <w:szCs w:val="28"/>
      </w:rPr>
      <w:fldChar w:fldCharType="end"/>
    </w:r>
    <w:r>
      <w:rPr>
        <w:rStyle w:val="23"/>
        <w:sz w:val="28"/>
        <w:szCs w:val="28"/>
      </w:rPr>
      <w:t xml:space="preserve"> —</w:t>
    </w:r>
  </w:p>
  <w:p w14:paraId="5B5A7672">
    <w:pPr>
      <w:pStyle w:val="11"/>
      <w:ind w:right="360"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5B52">
    <w:pPr>
      <w:pStyle w:val="12"/>
      <w:pBdr>
        <w:top w:val="none" w:color="auto" w:sz="0" w:space="0"/>
        <w:left w:val="none" w:color="auto" w:sz="0" w:space="0"/>
        <w:bottom w:val="none" w:color="auto" w:sz="0" w:space="0"/>
        <w:right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2EA6E">
    <w:pPr>
      <w:pStyle w:val="12"/>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7CAE">
    <w:pPr>
      <w:pStyle w:val="12"/>
      <w:pBdr>
        <w:top w:val="none" w:color="auto" w:sz="0" w:space="0"/>
        <w:left w:val="none" w:color="auto" w:sz="0" w:space="0"/>
        <w:bottom w:val="none" w:color="auto" w:sz="0" w:space="0"/>
        <w:right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273"/>
  <w:drawingGridVerticalSpacing w:val="445"/>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MmFlOWI3NTNlNGM1OTY3YjI0ZTgzNzY4YTY5ZDEifQ=="/>
  </w:docVars>
  <w:rsids>
    <w:rsidRoot w:val="0099496B"/>
    <w:rsid w:val="000261DE"/>
    <w:rsid w:val="000C386B"/>
    <w:rsid w:val="00171C3F"/>
    <w:rsid w:val="001772AC"/>
    <w:rsid w:val="001979C5"/>
    <w:rsid w:val="001A6C89"/>
    <w:rsid w:val="00215486"/>
    <w:rsid w:val="00216E2A"/>
    <w:rsid w:val="00241CF2"/>
    <w:rsid w:val="002627BF"/>
    <w:rsid w:val="00286089"/>
    <w:rsid w:val="002A5A3D"/>
    <w:rsid w:val="002B6777"/>
    <w:rsid w:val="002D282F"/>
    <w:rsid w:val="00314227"/>
    <w:rsid w:val="00323AE3"/>
    <w:rsid w:val="0039552D"/>
    <w:rsid w:val="00433FA1"/>
    <w:rsid w:val="00440DBA"/>
    <w:rsid w:val="00472B96"/>
    <w:rsid w:val="005233D0"/>
    <w:rsid w:val="00630F9E"/>
    <w:rsid w:val="0063673D"/>
    <w:rsid w:val="0069482C"/>
    <w:rsid w:val="006C0747"/>
    <w:rsid w:val="00770271"/>
    <w:rsid w:val="007B0B73"/>
    <w:rsid w:val="007F0CAB"/>
    <w:rsid w:val="0084244A"/>
    <w:rsid w:val="008627D8"/>
    <w:rsid w:val="008E71C9"/>
    <w:rsid w:val="009009B9"/>
    <w:rsid w:val="00982139"/>
    <w:rsid w:val="0099496B"/>
    <w:rsid w:val="009C03D3"/>
    <w:rsid w:val="00A62AA3"/>
    <w:rsid w:val="00AA282B"/>
    <w:rsid w:val="00AC0210"/>
    <w:rsid w:val="00AC12AF"/>
    <w:rsid w:val="00B2778B"/>
    <w:rsid w:val="00B42435"/>
    <w:rsid w:val="00B6123D"/>
    <w:rsid w:val="00B812E7"/>
    <w:rsid w:val="00C26B9A"/>
    <w:rsid w:val="00C70128"/>
    <w:rsid w:val="00CB1C81"/>
    <w:rsid w:val="00CE0211"/>
    <w:rsid w:val="00DE1297"/>
    <w:rsid w:val="00E11561"/>
    <w:rsid w:val="00E45279"/>
    <w:rsid w:val="00EF131D"/>
    <w:rsid w:val="00FA6722"/>
    <w:rsid w:val="011E4CC1"/>
    <w:rsid w:val="1C1E0C92"/>
    <w:rsid w:val="1C5761A3"/>
    <w:rsid w:val="3AD94E1B"/>
    <w:rsid w:val="48323461"/>
    <w:rsid w:val="60B320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uiPriority="99"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link w:val="32"/>
    <w:qFormat/>
    <w:uiPriority w:val="99"/>
    <w:pPr>
      <w:spacing w:before="100" w:beforeAutospacing="1" w:after="100" w:afterAutospacing="1"/>
      <w:jc w:val="left"/>
      <w:outlineLvl w:val="0"/>
    </w:pPr>
    <w:rPr>
      <w:rFonts w:ascii="宋体" w:hAnsi="宋体"/>
      <w:b/>
      <w:bCs/>
      <w:kern w:val="44"/>
      <w:sz w:val="48"/>
      <w:szCs w:val="48"/>
    </w:rPr>
  </w:style>
  <w:style w:type="paragraph" w:styleId="3">
    <w:name w:val="heading 2"/>
    <w:basedOn w:val="1"/>
    <w:next w:val="1"/>
    <w:link w:val="33"/>
    <w:qFormat/>
    <w:uiPriority w:val="99"/>
    <w:pPr>
      <w:keepNext/>
      <w:keepLines/>
      <w:spacing w:before="260" w:after="260" w:line="416"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99"/>
    <w:pPr>
      <w:spacing w:line="560" w:lineRule="exact"/>
      <w:ind w:left="420" w:leftChars="200" w:firstLine="800" w:firstLineChars="200"/>
    </w:pPr>
    <w:rPr>
      <w:sz w:val="32"/>
    </w:rPr>
  </w:style>
  <w:style w:type="paragraph" w:styleId="5">
    <w:name w:val="Document Map"/>
    <w:basedOn w:val="1"/>
    <w:link w:val="55"/>
    <w:qFormat/>
    <w:uiPriority w:val="99"/>
    <w:pPr>
      <w:spacing w:line="560" w:lineRule="exact"/>
      <w:ind w:firstLine="800" w:firstLineChars="200"/>
    </w:pPr>
    <w:rPr>
      <w:rFonts w:ascii="宋体" w:eastAsia="宋体"/>
      <w:sz w:val="18"/>
      <w:szCs w:val="18"/>
    </w:rPr>
  </w:style>
  <w:style w:type="paragraph" w:styleId="6">
    <w:name w:val="annotation text"/>
    <w:basedOn w:val="1"/>
    <w:link w:val="48"/>
    <w:uiPriority w:val="99"/>
    <w:pPr>
      <w:spacing w:line="560" w:lineRule="exact"/>
      <w:ind w:firstLine="800" w:firstLineChars="200"/>
      <w:jc w:val="left"/>
    </w:pPr>
    <w:rPr>
      <w:sz w:val="24"/>
      <w:szCs w:val="20"/>
    </w:rPr>
  </w:style>
  <w:style w:type="paragraph" w:styleId="7">
    <w:name w:val="Body Text"/>
    <w:basedOn w:val="1"/>
    <w:link w:val="35"/>
    <w:qFormat/>
    <w:uiPriority w:val="99"/>
    <w:pPr>
      <w:spacing w:after="120"/>
    </w:pPr>
  </w:style>
  <w:style w:type="paragraph" w:styleId="8">
    <w:name w:val="Body Text Indent"/>
    <w:basedOn w:val="1"/>
    <w:link w:val="36"/>
    <w:qFormat/>
    <w:uiPriority w:val="99"/>
    <w:pPr>
      <w:spacing w:after="120"/>
      <w:ind w:left="420" w:leftChars="200"/>
    </w:pPr>
  </w:style>
  <w:style w:type="paragraph" w:styleId="9">
    <w:name w:val="Body Text Indent 2"/>
    <w:basedOn w:val="1"/>
    <w:next w:val="1"/>
    <w:link w:val="49"/>
    <w:uiPriority w:val="99"/>
    <w:pPr>
      <w:spacing w:line="480" w:lineRule="auto"/>
      <w:ind w:left="420" w:leftChars="200" w:firstLine="800" w:firstLineChars="200"/>
    </w:pPr>
    <w:rPr>
      <w:sz w:val="32"/>
    </w:rPr>
  </w:style>
  <w:style w:type="paragraph" w:styleId="10">
    <w:name w:val="Balloon Text"/>
    <w:basedOn w:val="1"/>
    <w:link w:val="53"/>
    <w:qFormat/>
    <w:uiPriority w:val="99"/>
    <w:pPr>
      <w:ind w:firstLine="800" w:firstLineChars="200"/>
    </w:pPr>
    <w:rPr>
      <w:sz w:val="18"/>
      <w:szCs w:val="18"/>
    </w:rPr>
  </w:style>
  <w:style w:type="paragraph" w:styleId="11">
    <w:name w:val="footer"/>
    <w:basedOn w:val="1"/>
    <w:link w:val="59"/>
    <w:qFormat/>
    <w:uiPriority w:val="99"/>
    <w:pPr>
      <w:tabs>
        <w:tab w:val="center" w:pos="4153"/>
        <w:tab w:val="right" w:pos="8306"/>
      </w:tabs>
      <w:snapToGrid w:val="0"/>
      <w:spacing w:line="560" w:lineRule="exact"/>
      <w:ind w:firstLine="800" w:firstLineChars="200"/>
      <w:jc w:val="left"/>
    </w:pPr>
    <w:rPr>
      <w:sz w:val="18"/>
    </w:rPr>
  </w:style>
  <w:style w:type="paragraph" w:styleId="12">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ind w:firstLine="800" w:firstLineChars="200"/>
    </w:pPr>
    <w:rPr>
      <w:sz w:val="18"/>
    </w:rPr>
  </w:style>
  <w:style w:type="paragraph" w:styleId="13">
    <w:name w:val="toc 1"/>
    <w:basedOn w:val="1"/>
    <w:next w:val="1"/>
    <w:qFormat/>
    <w:uiPriority w:val="99"/>
    <w:pPr>
      <w:spacing w:line="560" w:lineRule="exact"/>
      <w:ind w:firstLine="800" w:firstLineChars="200"/>
    </w:pPr>
    <w:rPr>
      <w:sz w:val="32"/>
    </w:rPr>
  </w:style>
  <w:style w:type="paragraph" w:styleId="14">
    <w:name w:val="toc 2"/>
    <w:basedOn w:val="1"/>
    <w:next w:val="1"/>
    <w:qFormat/>
    <w:uiPriority w:val="99"/>
    <w:pPr>
      <w:spacing w:line="560" w:lineRule="exact"/>
      <w:ind w:left="420" w:leftChars="200" w:firstLine="800" w:firstLineChars="200"/>
    </w:pPr>
    <w:rPr>
      <w:sz w:val="32"/>
    </w:rPr>
  </w:style>
  <w:style w:type="paragraph" w:styleId="15">
    <w:name w:val="Normal (Web)"/>
    <w:basedOn w:val="1"/>
    <w:qFormat/>
    <w:uiPriority w:val="99"/>
    <w:pPr>
      <w:spacing w:line="560" w:lineRule="exact"/>
      <w:ind w:firstLine="800" w:firstLineChars="200"/>
      <w:jc w:val="left"/>
    </w:pPr>
    <w:rPr>
      <w:kern w:val="0"/>
      <w:sz w:val="24"/>
    </w:rPr>
  </w:style>
  <w:style w:type="paragraph" w:styleId="16">
    <w:name w:val="Title"/>
    <w:basedOn w:val="1"/>
    <w:next w:val="1"/>
    <w:link w:val="34"/>
    <w:qFormat/>
    <w:uiPriority w:val="99"/>
    <w:pPr>
      <w:spacing w:before="240" w:after="60"/>
      <w:jc w:val="center"/>
      <w:outlineLvl w:val="0"/>
    </w:pPr>
    <w:rPr>
      <w:rFonts w:ascii="Arial" w:hAnsi="Arial" w:cs="Arial"/>
      <w:b/>
      <w:bCs/>
      <w:sz w:val="32"/>
      <w:szCs w:val="32"/>
    </w:rPr>
  </w:style>
  <w:style w:type="paragraph" w:styleId="17">
    <w:name w:val="annotation subject"/>
    <w:basedOn w:val="6"/>
    <w:next w:val="6"/>
    <w:link w:val="51"/>
    <w:qFormat/>
    <w:uiPriority w:val="99"/>
    <w:rPr>
      <w:b/>
    </w:rPr>
  </w:style>
  <w:style w:type="paragraph" w:styleId="18">
    <w:name w:val="Body Text First Indent"/>
    <w:basedOn w:val="7"/>
    <w:link w:val="58"/>
    <w:qFormat/>
    <w:uiPriority w:val="99"/>
    <w:pPr>
      <w:spacing w:after="0" w:line="560" w:lineRule="exact"/>
      <w:ind w:firstLine="420" w:firstLineChars="100"/>
    </w:pPr>
    <w:rPr>
      <w:kern w:val="0"/>
      <w:sz w:val="32"/>
    </w:rPr>
  </w:style>
  <w:style w:type="paragraph" w:styleId="19">
    <w:name w:val="Body Text First Indent 2"/>
    <w:basedOn w:val="8"/>
    <w:link w:val="37"/>
    <w:qFormat/>
    <w:uiPriority w:val="99"/>
    <w:pPr>
      <w:ind w:firstLine="420" w:firstLineChars="200"/>
    </w:p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FollowedHyperlink"/>
    <w:basedOn w:val="21"/>
    <w:qFormat/>
    <w:uiPriority w:val="99"/>
    <w:rPr>
      <w:rFonts w:cs="Times New Roman"/>
      <w:color w:val="000000"/>
      <w:u w:val="none"/>
    </w:rPr>
  </w:style>
  <w:style w:type="character" w:styleId="25">
    <w:name w:val="HTML Definition"/>
    <w:basedOn w:val="21"/>
    <w:qFormat/>
    <w:uiPriority w:val="99"/>
    <w:rPr>
      <w:rFonts w:cs="Times New Roman"/>
      <w:i/>
    </w:rPr>
  </w:style>
  <w:style w:type="character" w:styleId="26">
    <w:name w:val="HTML Acronym"/>
    <w:basedOn w:val="21"/>
    <w:qFormat/>
    <w:uiPriority w:val="99"/>
    <w:rPr>
      <w:rFonts w:cs="Times New Roman"/>
    </w:rPr>
  </w:style>
  <w:style w:type="character" w:styleId="27">
    <w:name w:val="Hyperlink"/>
    <w:basedOn w:val="21"/>
    <w:qFormat/>
    <w:uiPriority w:val="99"/>
    <w:rPr>
      <w:rFonts w:cs="Times New Roman"/>
      <w:color w:val="000000"/>
      <w:u w:val="none"/>
    </w:rPr>
  </w:style>
  <w:style w:type="character" w:styleId="28">
    <w:name w:val="HTML Code"/>
    <w:basedOn w:val="21"/>
    <w:qFormat/>
    <w:uiPriority w:val="99"/>
    <w:rPr>
      <w:rFonts w:ascii="monospace" w:hAnsi="monospace" w:eastAsia="Times New Roman" w:cs="Times New Roman"/>
      <w:sz w:val="21"/>
    </w:rPr>
  </w:style>
  <w:style w:type="character" w:styleId="29">
    <w:name w:val="annotation reference"/>
    <w:basedOn w:val="21"/>
    <w:qFormat/>
    <w:uiPriority w:val="99"/>
    <w:rPr>
      <w:rFonts w:cs="Times New Roman"/>
      <w:sz w:val="21"/>
    </w:rPr>
  </w:style>
  <w:style w:type="character" w:styleId="30">
    <w:name w:val="HTML Keyboard"/>
    <w:basedOn w:val="21"/>
    <w:qFormat/>
    <w:uiPriority w:val="99"/>
    <w:rPr>
      <w:rFonts w:ascii="monospace" w:hAnsi="monospace" w:eastAsia="Times New Roman" w:cs="Times New Roman"/>
      <w:sz w:val="21"/>
    </w:rPr>
  </w:style>
  <w:style w:type="character" w:styleId="31">
    <w:name w:val="HTML Sample"/>
    <w:basedOn w:val="21"/>
    <w:qFormat/>
    <w:uiPriority w:val="99"/>
    <w:rPr>
      <w:rFonts w:ascii="monospace" w:hAnsi="monospace" w:eastAsia="Times New Roman" w:cs="Times New Roman"/>
      <w:sz w:val="21"/>
    </w:rPr>
  </w:style>
  <w:style w:type="character" w:customStyle="1" w:styleId="32">
    <w:name w:val="标题 1 Char"/>
    <w:basedOn w:val="21"/>
    <w:link w:val="2"/>
    <w:qFormat/>
    <w:locked/>
    <w:uiPriority w:val="99"/>
    <w:rPr>
      <w:rFonts w:ascii="宋体" w:eastAsia="宋体" w:cs="Times New Roman"/>
      <w:b/>
      <w:bCs/>
      <w:kern w:val="44"/>
      <w:sz w:val="48"/>
      <w:szCs w:val="48"/>
    </w:rPr>
  </w:style>
  <w:style w:type="character" w:customStyle="1" w:styleId="33">
    <w:name w:val="标题 2 Char"/>
    <w:basedOn w:val="21"/>
    <w:link w:val="3"/>
    <w:qFormat/>
    <w:locked/>
    <w:uiPriority w:val="99"/>
    <w:rPr>
      <w:rFonts w:ascii="Arial" w:hAnsi="Arial" w:eastAsia="黑体" w:cs="Times New Roman"/>
      <w:b/>
      <w:bCs/>
      <w:kern w:val="2"/>
      <w:sz w:val="32"/>
      <w:szCs w:val="32"/>
    </w:rPr>
  </w:style>
  <w:style w:type="character" w:customStyle="1" w:styleId="34">
    <w:name w:val="标题 Char"/>
    <w:basedOn w:val="21"/>
    <w:link w:val="16"/>
    <w:qFormat/>
    <w:locked/>
    <w:uiPriority w:val="99"/>
    <w:rPr>
      <w:rFonts w:ascii="Arial" w:hAnsi="Arial" w:cs="Arial"/>
      <w:b/>
      <w:bCs/>
      <w:kern w:val="2"/>
      <w:sz w:val="32"/>
      <w:szCs w:val="32"/>
    </w:rPr>
  </w:style>
  <w:style w:type="character" w:customStyle="1" w:styleId="35">
    <w:name w:val="正文文本 Char"/>
    <w:basedOn w:val="21"/>
    <w:link w:val="7"/>
    <w:qFormat/>
    <w:locked/>
    <w:uiPriority w:val="99"/>
    <w:rPr>
      <w:rFonts w:ascii="Calibri" w:hAnsi="Calibri" w:cs="Times New Roman"/>
      <w:kern w:val="2"/>
      <w:sz w:val="24"/>
      <w:szCs w:val="24"/>
    </w:rPr>
  </w:style>
  <w:style w:type="character" w:customStyle="1" w:styleId="36">
    <w:name w:val="正文文本缩进 Char"/>
    <w:basedOn w:val="21"/>
    <w:link w:val="8"/>
    <w:qFormat/>
    <w:locked/>
    <w:uiPriority w:val="99"/>
    <w:rPr>
      <w:rFonts w:ascii="Calibri" w:hAnsi="Calibri" w:cs="Times New Roman"/>
      <w:kern w:val="2"/>
      <w:sz w:val="24"/>
      <w:szCs w:val="24"/>
    </w:rPr>
  </w:style>
  <w:style w:type="character" w:customStyle="1" w:styleId="37">
    <w:name w:val="正文首行缩进 2 Char"/>
    <w:basedOn w:val="36"/>
    <w:link w:val="19"/>
    <w:qFormat/>
    <w:locked/>
    <w:uiPriority w:val="99"/>
  </w:style>
  <w:style w:type="paragraph" w:customStyle="1" w:styleId="38">
    <w:name w:val="正文缩进1"/>
    <w:basedOn w:val="1"/>
    <w:qFormat/>
    <w:uiPriority w:val="99"/>
    <w:pPr>
      <w:ind w:firstLine="624"/>
      <w:textAlignment w:val="center"/>
    </w:pPr>
    <w:rPr>
      <w:szCs w:val="21"/>
    </w:rPr>
  </w:style>
  <w:style w:type="paragraph" w:customStyle="1" w:styleId="39">
    <w:name w:val="_Style 2"/>
    <w:basedOn w:val="1"/>
    <w:qFormat/>
    <w:uiPriority w:val="99"/>
    <w:pPr>
      <w:spacing w:line="351" w:lineRule="atLeast"/>
      <w:ind w:firstLine="623"/>
      <w:textAlignment w:val="baseline"/>
    </w:pPr>
    <w:rPr>
      <w:color w:val="000000"/>
      <w:sz w:val="31"/>
      <w:szCs w:val="20"/>
    </w:rPr>
  </w:style>
  <w:style w:type="character" w:customStyle="1" w:styleId="40">
    <w:name w:val="NormalCharacter"/>
    <w:semiHidden/>
    <w:qFormat/>
    <w:uiPriority w:val="99"/>
  </w:style>
  <w:style w:type="character" w:customStyle="1" w:styleId="41">
    <w:name w:val="Document Map Char"/>
    <w:qFormat/>
    <w:locked/>
    <w:uiPriority w:val="99"/>
    <w:rPr>
      <w:rFonts w:ascii="宋体" w:cs="Times New Roman"/>
      <w:kern w:val="2"/>
      <w:sz w:val="18"/>
      <w:szCs w:val="18"/>
    </w:rPr>
  </w:style>
  <w:style w:type="character" w:customStyle="1" w:styleId="42">
    <w:name w:val="Balloon Text Char"/>
    <w:qFormat/>
    <w:locked/>
    <w:uiPriority w:val="99"/>
    <w:rPr>
      <w:rFonts w:eastAsia="仿宋_GB2312" w:cs="Times New Roman"/>
      <w:kern w:val="2"/>
      <w:sz w:val="18"/>
      <w:szCs w:val="18"/>
    </w:rPr>
  </w:style>
  <w:style w:type="character" w:customStyle="1" w:styleId="43">
    <w:name w:val="Comment Subject Char"/>
    <w:qFormat/>
    <w:locked/>
    <w:uiPriority w:val="99"/>
    <w:rPr>
      <w:rFonts w:eastAsia="仿宋_GB2312"/>
      <w:b/>
      <w:kern w:val="2"/>
      <w:sz w:val="24"/>
    </w:rPr>
  </w:style>
  <w:style w:type="character" w:customStyle="1" w:styleId="44">
    <w:name w:val="button"/>
    <w:qFormat/>
    <w:uiPriority w:val="99"/>
  </w:style>
  <w:style w:type="character" w:customStyle="1" w:styleId="45">
    <w:name w:val="Comment Text Char"/>
    <w:qFormat/>
    <w:locked/>
    <w:uiPriority w:val="99"/>
    <w:rPr>
      <w:rFonts w:eastAsia="仿宋_GB2312"/>
      <w:kern w:val="2"/>
      <w:sz w:val="24"/>
    </w:rPr>
  </w:style>
  <w:style w:type="paragraph" w:customStyle="1" w:styleId="46">
    <w:name w:val="WPSOffice手动目录 1"/>
    <w:qFormat/>
    <w:uiPriority w:val="99"/>
    <w:rPr>
      <w:rFonts w:ascii="Times New Roman" w:hAnsi="Times New Roman" w:eastAsia="宋体" w:cs="Times New Roman"/>
      <w:lang w:val="en-US" w:eastAsia="zh-CN" w:bidi="ar-SA"/>
    </w:rPr>
  </w:style>
  <w:style w:type="character" w:customStyle="1" w:styleId="47">
    <w:name w:val="Comment Text Char1"/>
    <w:basedOn w:val="21"/>
    <w:link w:val="6"/>
    <w:semiHidden/>
    <w:qFormat/>
    <w:uiPriority w:val="99"/>
    <w:rPr>
      <w:rFonts w:eastAsia="仿宋_GB2312"/>
      <w:sz w:val="28"/>
      <w:szCs w:val="24"/>
    </w:rPr>
  </w:style>
  <w:style w:type="character" w:customStyle="1" w:styleId="48">
    <w:name w:val="批注文字 Char"/>
    <w:basedOn w:val="21"/>
    <w:link w:val="6"/>
    <w:semiHidden/>
    <w:qFormat/>
    <w:locked/>
    <w:uiPriority w:val="99"/>
    <w:rPr>
      <w:rFonts w:ascii="Calibri" w:hAnsi="Calibri" w:cs="Times New Roman"/>
      <w:kern w:val="2"/>
      <w:sz w:val="24"/>
      <w:szCs w:val="24"/>
    </w:rPr>
  </w:style>
  <w:style w:type="character" w:customStyle="1" w:styleId="49">
    <w:name w:val="正文文本缩进 2 Char"/>
    <w:basedOn w:val="21"/>
    <w:link w:val="9"/>
    <w:qFormat/>
    <w:locked/>
    <w:uiPriority w:val="99"/>
    <w:rPr>
      <w:rFonts w:eastAsia="仿宋_GB2312" w:cs="Times New Roman"/>
      <w:kern w:val="2"/>
      <w:sz w:val="24"/>
      <w:szCs w:val="24"/>
    </w:rPr>
  </w:style>
  <w:style w:type="character" w:customStyle="1" w:styleId="50">
    <w:name w:val="Comment Subject Char1"/>
    <w:basedOn w:val="48"/>
    <w:link w:val="17"/>
    <w:semiHidden/>
    <w:qFormat/>
    <w:uiPriority w:val="99"/>
    <w:rPr>
      <w:rFonts w:eastAsia="仿宋_GB2312"/>
      <w:b/>
      <w:bCs/>
      <w:sz w:val="28"/>
    </w:rPr>
  </w:style>
  <w:style w:type="character" w:customStyle="1" w:styleId="51">
    <w:name w:val="批注主题 Char"/>
    <w:basedOn w:val="48"/>
    <w:link w:val="17"/>
    <w:semiHidden/>
    <w:qFormat/>
    <w:locked/>
    <w:uiPriority w:val="99"/>
    <w:rPr>
      <w:b/>
      <w:bCs/>
    </w:rPr>
  </w:style>
  <w:style w:type="character" w:customStyle="1" w:styleId="52">
    <w:name w:val="Balloon Text Char1"/>
    <w:basedOn w:val="21"/>
    <w:link w:val="10"/>
    <w:semiHidden/>
    <w:qFormat/>
    <w:uiPriority w:val="99"/>
    <w:rPr>
      <w:rFonts w:eastAsia="仿宋_GB2312"/>
      <w:sz w:val="0"/>
      <w:szCs w:val="0"/>
    </w:rPr>
  </w:style>
  <w:style w:type="character" w:customStyle="1" w:styleId="53">
    <w:name w:val="批注框文本 Char"/>
    <w:basedOn w:val="21"/>
    <w:link w:val="10"/>
    <w:semiHidden/>
    <w:qFormat/>
    <w:locked/>
    <w:uiPriority w:val="99"/>
    <w:rPr>
      <w:rFonts w:ascii="Calibri" w:hAnsi="Calibri" w:cs="Times New Roman"/>
      <w:kern w:val="2"/>
      <w:sz w:val="18"/>
      <w:szCs w:val="18"/>
    </w:rPr>
  </w:style>
  <w:style w:type="character" w:customStyle="1" w:styleId="54">
    <w:name w:val="Document Map Char1"/>
    <w:basedOn w:val="21"/>
    <w:link w:val="5"/>
    <w:semiHidden/>
    <w:qFormat/>
    <w:uiPriority w:val="99"/>
    <w:rPr>
      <w:rFonts w:eastAsia="仿宋_GB2312"/>
      <w:sz w:val="0"/>
      <w:szCs w:val="0"/>
    </w:rPr>
  </w:style>
  <w:style w:type="character" w:customStyle="1" w:styleId="55">
    <w:name w:val="文档结构图 Char"/>
    <w:basedOn w:val="21"/>
    <w:link w:val="5"/>
    <w:semiHidden/>
    <w:qFormat/>
    <w:locked/>
    <w:uiPriority w:val="99"/>
    <w:rPr>
      <w:rFonts w:ascii="宋体" w:hAnsi="Calibri" w:cs="Times New Roman"/>
      <w:kern w:val="2"/>
      <w:sz w:val="18"/>
      <w:szCs w:val="18"/>
    </w:rPr>
  </w:style>
  <w:style w:type="paragraph" w:customStyle="1" w:styleId="56">
    <w:name w:val="正文1"/>
    <w:qFormat/>
    <w:uiPriority w:val="99"/>
    <w:pPr>
      <w:jc w:val="both"/>
    </w:pPr>
    <w:rPr>
      <w:rFonts w:ascii="Times New Roman" w:hAnsi="Times New Roman" w:eastAsia="宋体" w:cs="Times New Roman"/>
      <w:kern w:val="2"/>
      <w:sz w:val="21"/>
      <w:szCs w:val="21"/>
      <w:lang w:val="en-US" w:eastAsia="zh-CN" w:bidi="ar-SA"/>
    </w:rPr>
  </w:style>
  <w:style w:type="character" w:customStyle="1" w:styleId="57">
    <w:name w:val="页眉 Char"/>
    <w:basedOn w:val="21"/>
    <w:link w:val="12"/>
    <w:qFormat/>
    <w:locked/>
    <w:uiPriority w:val="99"/>
    <w:rPr>
      <w:rFonts w:eastAsia="仿宋_GB2312" w:cs="Times New Roman"/>
      <w:kern w:val="2"/>
      <w:sz w:val="24"/>
      <w:szCs w:val="24"/>
    </w:rPr>
  </w:style>
  <w:style w:type="character" w:customStyle="1" w:styleId="58">
    <w:name w:val="正文首行缩进 Char"/>
    <w:basedOn w:val="35"/>
    <w:link w:val="18"/>
    <w:qFormat/>
    <w:locked/>
    <w:uiPriority w:val="99"/>
    <w:rPr>
      <w:rFonts w:eastAsia="仿宋_GB2312"/>
    </w:rPr>
  </w:style>
  <w:style w:type="character" w:customStyle="1" w:styleId="59">
    <w:name w:val="页脚 Char"/>
    <w:basedOn w:val="21"/>
    <w:link w:val="11"/>
    <w:qFormat/>
    <w:locked/>
    <w:uiPriority w:val="99"/>
    <w:rPr>
      <w:rFonts w:eastAsia="仿宋_GB2312" w:cs="Times New Roman"/>
      <w:kern w:val="2"/>
      <w:sz w:val="24"/>
      <w:szCs w:val="24"/>
    </w:rPr>
  </w:style>
  <w:style w:type="paragraph" w:customStyle="1" w:styleId="60">
    <w:name w:val="正文11"/>
    <w:qFormat/>
    <w:uiPriority w:val="99"/>
    <w:pPr>
      <w:jc w:val="both"/>
    </w:pPr>
    <w:rPr>
      <w:rFonts w:ascii="Times New Roman" w:hAnsi="Times New Roman" w:eastAsia="宋体" w:cs="Times New Roman"/>
      <w:kern w:val="2"/>
      <w:sz w:val="21"/>
      <w:szCs w:val="21"/>
      <w:lang w:val="en-US" w:eastAsia="zh-CN" w:bidi="ar-SA"/>
    </w:rPr>
  </w:style>
  <w:style w:type="paragraph" w:customStyle="1" w:styleId="61">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62">
    <w:name w:val="Revisio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43099</Words>
  <Characters>44075</Characters>
  <Lines>348</Lines>
  <Paragraphs>98</Paragraphs>
  <TotalTime>3</TotalTime>
  <ScaleCrop>false</ScaleCrop>
  <LinksUpToDate>false</LinksUpToDate>
  <CharactersWithSpaces>44268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2022-05-31T04:31:00Z</dcterms:created>
  <dc:creator>张显著</dc:creator>
  <cp:lastModifiedBy>啾啾</cp:lastModifiedBy>
  <dcterms:modified xsi:type="dcterms:W3CDTF">2025-12-17T08:16:00Z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AEE431F824BF4CC4A0227826B5688CD3_13</vt:lpwstr>
  </property>
  <property fmtid="{D5CDD505-2E9C-101B-9397-08002B2CF9AE}" pid="4" name="KSOTemplateDocerSaveRecord">
    <vt:lpwstr>eyJoZGlkIjoiNDI3YWMxMjAwYTFlNDQxNGUwMjUwMDllYjY3ZTYwYjQiLCJ1c2VySWQiOiIxNjQ1NDU0ODI5In0=</vt:lpwstr>
  </property>
</Properties>
</file>