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BF5F8">
      <w:pPr>
        <w:widowControl/>
        <w:shd w:val="clear" w:color="auto" w:fill="FFFFFF"/>
        <w:jc w:val="center"/>
        <w:rPr>
          <w:rFonts w:ascii="Times New Roman" w:hAnsi="Times New Roman" w:eastAsia="宋体" w:cs="Times New Roman"/>
          <w:color w:val="333333"/>
          <w:kern w:val="0"/>
          <w:sz w:val="32"/>
          <w:szCs w:val="32"/>
        </w:rPr>
      </w:pPr>
      <w:r>
        <w:rPr>
          <w:rFonts w:hint="eastAsia" w:ascii="宋体" w:hAnsi="宋体" w:eastAsia="宋体" w:cs="Times New Roman"/>
          <w:b/>
          <w:bCs/>
          <w:color w:val="333333"/>
          <w:kern w:val="0"/>
          <w:sz w:val="36"/>
          <w:szCs w:val="36"/>
        </w:rPr>
        <w:t>安徽省</w:t>
      </w:r>
      <w:r>
        <w:rPr>
          <w:rFonts w:hint="eastAsia" w:ascii="宋体" w:hAnsi="宋体" w:eastAsia="宋体" w:cs="Times New Roman"/>
          <w:b/>
          <w:bCs/>
          <w:color w:val="333333"/>
          <w:kern w:val="0"/>
          <w:sz w:val="32"/>
          <w:szCs w:val="32"/>
        </w:rPr>
        <w:t>六安市裕安区商贸物资协会</w:t>
      </w:r>
      <w:r>
        <w:rPr>
          <w:rFonts w:hint="eastAsia" w:ascii="宋体" w:hAnsi="宋体" w:eastAsia="宋体" w:cs="Times New Roman"/>
          <w:b/>
          <w:bCs/>
          <w:color w:val="333333"/>
          <w:kern w:val="0"/>
          <w:sz w:val="36"/>
          <w:szCs w:val="36"/>
        </w:rPr>
        <w:t>2018年度一般公共预算</w:t>
      </w:r>
    </w:p>
    <w:p w14:paraId="68F2BE36">
      <w:pPr>
        <w:widowControl/>
        <w:shd w:val="clear" w:color="auto" w:fill="FFFFFF"/>
        <w:jc w:val="center"/>
        <w:rPr>
          <w:rFonts w:ascii="Times New Roman" w:hAnsi="Times New Roman" w:eastAsia="宋体" w:cs="Times New Roman"/>
          <w:color w:val="333333"/>
          <w:kern w:val="0"/>
          <w:sz w:val="32"/>
          <w:szCs w:val="32"/>
        </w:rPr>
      </w:pPr>
      <w:r>
        <w:rPr>
          <w:rFonts w:hint="eastAsia" w:ascii="宋体" w:hAnsi="宋体" w:eastAsia="宋体" w:cs="Times New Roman"/>
          <w:b/>
          <w:bCs/>
          <w:color w:val="333333"/>
          <w:kern w:val="0"/>
          <w:sz w:val="36"/>
          <w:szCs w:val="36"/>
        </w:rPr>
        <w:t>财政拨款“三公”经费支出决算情况说明</w:t>
      </w:r>
    </w:p>
    <w:p w14:paraId="4F875B14">
      <w:pPr>
        <w:widowControl/>
        <w:shd w:val="clear" w:color="auto" w:fill="FFFFFF"/>
        <w:jc w:val="center"/>
        <w:rPr>
          <w:rFonts w:ascii="Times New Roman" w:hAnsi="Times New Roman" w:eastAsia="宋体" w:cs="Times New Roman"/>
          <w:color w:val="333333"/>
          <w:kern w:val="0"/>
          <w:sz w:val="32"/>
          <w:szCs w:val="32"/>
        </w:rPr>
      </w:pPr>
      <w:r>
        <w:rPr>
          <w:rFonts w:ascii="Times New Roman" w:hAnsi="Times New Roman" w:eastAsia="宋体" w:cs="Times New Roman"/>
          <w:color w:val="333333"/>
          <w:kern w:val="0"/>
          <w:sz w:val="32"/>
          <w:szCs w:val="32"/>
        </w:rPr>
        <w:t> </w:t>
      </w:r>
    </w:p>
    <w:p w14:paraId="25B1A57E">
      <w:pPr>
        <w:widowControl/>
        <w:shd w:val="clear" w:color="auto" w:fill="FFFFFF"/>
        <w:spacing w:line="480" w:lineRule="atLeast"/>
        <w:jc w:val="center"/>
        <w:rPr>
          <w:rFonts w:ascii="Times New Roman" w:hAnsi="Times New Roman" w:eastAsia="宋体" w:cs="Times New Roman"/>
          <w:color w:val="333333"/>
          <w:kern w:val="0"/>
          <w:sz w:val="32"/>
          <w:szCs w:val="32"/>
        </w:rPr>
      </w:pPr>
      <w:r>
        <w:rPr>
          <w:rFonts w:ascii="Times New Roman" w:hAnsi="Times New Roman" w:eastAsia="宋体" w:cs="Times New Roman"/>
          <w:color w:val="333333"/>
          <w:kern w:val="0"/>
          <w:sz w:val="32"/>
          <w:szCs w:val="32"/>
        </w:rPr>
        <w:t> </w:t>
      </w:r>
    </w:p>
    <w:p w14:paraId="1C874CB5">
      <w:pPr>
        <w:widowControl/>
        <w:shd w:val="clear" w:color="auto" w:fill="FFFFFF"/>
        <w:ind w:firstLine="640"/>
        <w:rPr>
          <w:rFonts w:ascii="Times New Roman" w:hAnsi="Times New Roman" w:eastAsia="宋体" w:cs="Times New Roman"/>
          <w:color w:val="333333"/>
          <w:kern w:val="0"/>
          <w:sz w:val="32"/>
          <w:szCs w:val="32"/>
        </w:rPr>
      </w:pPr>
      <w:r>
        <w:rPr>
          <w:rFonts w:hint="eastAsia" w:ascii="黑体" w:hAnsi="黑体" w:eastAsia="黑体" w:cs="Times New Roman"/>
          <w:color w:val="333333"/>
          <w:kern w:val="0"/>
          <w:sz w:val="32"/>
          <w:szCs w:val="32"/>
        </w:rPr>
        <w:t>一、2018年</w:t>
      </w:r>
      <w:r>
        <w:rPr>
          <w:rFonts w:hint="eastAsia" w:ascii="宋体" w:hAnsi="宋体" w:eastAsia="宋体" w:cs="Times New Roman"/>
          <w:b/>
          <w:bCs/>
          <w:color w:val="333333"/>
          <w:kern w:val="0"/>
          <w:sz w:val="32"/>
          <w:szCs w:val="32"/>
        </w:rPr>
        <w:t>度</w:t>
      </w:r>
      <w:r>
        <w:rPr>
          <w:rFonts w:hint="eastAsia" w:ascii="黑体" w:hAnsi="黑体" w:eastAsia="黑体" w:cs="Times New Roman"/>
          <w:color w:val="333333"/>
          <w:kern w:val="0"/>
          <w:sz w:val="32"/>
          <w:szCs w:val="32"/>
        </w:rPr>
        <w:t>一般公共预算财政拨款“三公”经费支出决算表</w:t>
      </w:r>
    </w:p>
    <w:p w14:paraId="73C312C6">
      <w:pPr>
        <w:widowControl/>
        <w:shd w:val="clear" w:color="auto" w:fill="FFFFFF"/>
        <w:jc w:val="right"/>
        <w:rPr>
          <w:rFonts w:ascii="Times New Roman" w:hAnsi="Times New Roman" w:eastAsia="宋体" w:cs="Times New Roman"/>
          <w:color w:val="333333"/>
          <w:kern w:val="0"/>
          <w:sz w:val="32"/>
          <w:szCs w:val="32"/>
        </w:rPr>
      </w:pPr>
      <w:r>
        <w:rPr>
          <w:rFonts w:hint="eastAsia" w:ascii="仿宋_GB2312" w:hAnsi="仿宋" w:eastAsia="仿宋_GB2312" w:cs="Times New Roman"/>
          <w:color w:val="333333"/>
          <w:kern w:val="0"/>
          <w:sz w:val="32"/>
          <w:szCs w:val="32"/>
        </w:rPr>
        <w:t>单位：万元</w:t>
      </w:r>
    </w:p>
    <w:tbl>
      <w:tblPr>
        <w:tblStyle w:val="4"/>
        <w:tblW w:w="0" w:type="auto"/>
        <w:tblInd w:w="135" w:type="dxa"/>
        <w:shd w:val="clear" w:color="auto" w:fill="FFFFFF"/>
        <w:tblLayout w:type="autofit"/>
        <w:tblCellMar>
          <w:top w:w="15" w:type="dxa"/>
          <w:left w:w="15" w:type="dxa"/>
          <w:bottom w:w="15" w:type="dxa"/>
          <w:right w:w="15" w:type="dxa"/>
        </w:tblCellMar>
      </w:tblPr>
      <w:tblGrid>
        <w:gridCol w:w="4177"/>
        <w:gridCol w:w="2075"/>
        <w:gridCol w:w="2135"/>
      </w:tblGrid>
      <w:tr w14:paraId="65BE4BE0">
        <w:tblPrEx>
          <w:tblCellMar>
            <w:top w:w="15" w:type="dxa"/>
            <w:left w:w="15" w:type="dxa"/>
            <w:bottom w:w="15" w:type="dxa"/>
            <w:right w:w="15" w:type="dxa"/>
          </w:tblCellMar>
        </w:tblPrEx>
        <w:trPr>
          <w:trHeight w:val="397" w:hRule="atLeast"/>
        </w:trPr>
        <w:tc>
          <w:tcPr>
            <w:tcW w:w="43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AA2C2">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 xml:space="preserve">项 </w:t>
            </w:r>
            <w:r>
              <w:rPr>
                <w:rFonts w:ascii="Calibri" w:hAnsi="Calibri" w:eastAsia="仿宋" w:cs="Calibri"/>
                <w:b/>
                <w:bCs/>
                <w:color w:val="333333"/>
                <w:kern w:val="0"/>
                <w:sz w:val="32"/>
                <w:szCs w:val="32"/>
              </w:rPr>
              <w:t> </w:t>
            </w:r>
            <w:r>
              <w:rPr>
                <w:rFonts w:hint="eastAsia" w:ascii="仿宋" w:hAnsi="仿宋" w:eastAsia="仿宋" w:cs="Times New Roman"/>
                <w:b/>
                <w:bCs/>
                <w:color w:val="333333"/>
                <w:kern w:val="0"/>
                <w:sz w:val="32"/>
                <w:szCs w:val="32"/>
              </w:rPr>
              <w:t>目</w:t>
            </w:r>
          </w:p>
        </w:tc>
        <w:tc>
          <w:tcPr>
            <w:tcW w:w="215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BB14C9">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预 算 数</w:t>
            </w:r>
          </w:p>
        </w:tc>
        <w:tc>
          <w:tcPr>
            <w:tcW w:w="22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02C87">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决 算 数</w:t>
            </w:r>
          </w:p>
        </w:tc>
      </w:tr>
      <w:tr w14:paraId="0F5561D9">
        <w:tblPrEx>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395539">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 xml:space="preserve">合 </w:t>
            </w:r>
            <w:r>
              <w:rPr>
                <w:rFonts w:ascii="Calibri" w:hAnsi="Calibri" w:eastAsia="仿宋" w:cs="Calibri"/>
                <w:b/>
                <w:bCs/>
                <w:color w:val="333333"/>
                <w:kern w:val="0"/>
                <w:sz w:val="32"/>
                <w:szCs w:val="32"/>
              </w:rPr>
              <w:t> </w:t>
            </w:r>
            <w:r>
              <w:rPr>
                <w:rFonts w:hint="eastAsia" w:ascii="仿宋" w:hAnsi="仿宋" w:eastAsia="仿宋" w:cs="Times New Roman"/>
                <w:b/>
                <w:bCs/>
                <w:color w:val="333333"/>
                <w:kern w:val="0"/>
                <w:sz w:val="32"/>
                <w:szCs w:val="32"/>
              </w:rPr>
              <w:t>计</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975201">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7.50</w:t>
            </w:r>
            <w:r>
              <w:rPr>
                <w:rFonts w:hint="eastAsia" w:ascii="仿宋_GB2312" w:hAnsi="仿宋" w:eastAsia="仿宋_GB2312" w:cs="Times New Roman"/>
                <w:b/>
                <w:bCs/>
                <w:color w:val="333333"/>
                <w:kern w:val="0"/>
                <w:sz w:val="32"/>
                <w:szCs w:val="32"/>
              </w:rPr>
              <w:t>　</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7CA00F">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b/>
                <w:bCs/>
                <w:color w:val="333333"/>
                <w:kern w:val="0"/>
                <w:sz w:val="32"/>
                <w:szCs w:val="32"/>
              </w:rPr>
              <w:t>4.40</w:t>
            </w:r>
            <w:r>
              <w:rPr>
                <w:rFonts w:hint="eastAsia" w:ascii="仿宋_GB2312" w:hAnsi="仿宋" w:eastAsia="仿宋_GB2312" w:cs="Times New Roman"/>
                <w:b/>
                <w:bCs/>
                <w:color w:val="333333"/>
                <w:kern w:val="0"/>
                <w:sz w:val="32"/>
                <w:szCs w:val="32"/>
              </w:rPr>
              <w:t>　</w:t>
            </w:r>
          </w:p>
        </w:tc>
      </w:tr>
      <w:tr w14:paraId="59889841">
        <w:tblPrEx>
          <w:shd w:val="clear" w:color="auto" w:fill="FFFFFF"/>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94F0B4">
            <w:pPr>
              <w:widowControl/>
              <w:jc w:val="left"/>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因公出国（境）费</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35161C1">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FEE30B7">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r>
      <w:tr w14:paraId="7C854455">
        <w:tblPrEx>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3C7B95">
            <w:pPr>
              <w:widowControl/>
              <w:jc w:val="left"/>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公务接待费</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051DA63">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7.50</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185A117">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4.40</w:t>
            </w:r>
          </w:p>
        </w:tc>
      </w:tr>
      <w:tr w14:paraId="2178945F">
        <w:tblPrEx>
          <w:shd w:val="clear" w:color="auto" w:fill="FFFFFF"/>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D0727C">
            <w:pPr>
              <w:widowControl/>
              <w:jc w:val="left"/>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公务用车购置及运行费</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69E8CB2">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73205F0">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r>
      <w:tr w14:paraId="3B3FFCD9">
        <w:tblPrEx>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6A077E">
            <w:pPr>
              <w:widowControl/>
              <w:jc w:val="left"/>
              <w:rPr>
                <w:rFonts w:ascii="Times New Roman" w:hAnsi="Times New Roman" w:eastAsia="宋体" w:cs="Times New Roman"/>
                <w:color w:val="333333"/>
                <w:kern w:val="0"/>
                <w:sz w:val="32"/>
                <w:szCs w:val="32"/>
              </w:rPr>
            </w:pPr>
            <w:r>
              <w:rPr>
                <w:rFonts w:ascii="Calibri" w:hAnsi="Calibri" w:eastAsia="仿宋" w:cs="Calibri"/>
                <w:color w:val="333333"/>
                <w:kern w:val="0"/>
                <w:sz w:val="32"/>
                <w:szCs w:val="32"/>
              </w:rPr>
              <w:t>  </w:t>
            </w:r>
            <w:r>
              <w:rPr>
                <w:rFonts w:hint="eastAsia" w:ascii="仿宋" w:hAnsi="仿宋" w:eastAsia="仿宋" w:cs="Times New Roman"/>
                <w:color w:val="333333"/>
                <w:kern w:val="0"/>
                <w:sz w:val="32"/>
                <w:szCs w:val="32"/>
              </w:rPr>
              <w:t>其中：公务用车运行维护费</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F26145C">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6551420">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r>
      <w:tr w14:paraId="745EDC99">
        <w:tblPrEx>
          <w:tblCellMar>
            <w:top w:w="15" w:type="dxa"/>
            <w:left w:w="15" w:type="dxa"/>
            <w:bottom w:w="15" w:type="dxa"/>
            <w:right w:w="15" w:type="dxa"/>
          </w:tblCellMar>
        </w:tblPrEx>
        <w:trPr>
          <w:trHeight w:val="397" w:hRule="atLeast"/>
        </w:trPr>
        <w:tc>
          <w:tcPr>
            <w:tcW w:w="437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12C061">
            <w:pPr>
              <w:widowControl/>
              <w:jc w:val="left"/>
              <w:rPr>
                <w:rFonts w:ascii="Times New Roman" w:hAnsi="Times New Roman" w:eastAsia="宋体" w:cs="Times New Roman"/>
                <w:color w:val="333333"/>
                <w:kern w:val="0"/>
                <w:sz w:val="32"/>
                <w:szCs w:val="32"/>
              </w:rPr>
            </w:pPr>
            <w:r>
              <w:rPr>
                <w:rFonts w:ascii="Calibri" w:hAnsi="Calibri" w:eastAsia="仿宋" w:cs="Calibri"/>
                <w:color w:val="333333"/>
                <w:kern w:val="0"/>
                <w:sz w:val="32"/>
                <w:szCs w:val="32"/>
              </w:rPr>
              <w:t>        </w:t>
            </w:r>
            <w:r>
              <w:rPr>
                <w:rFonts w:hint="eastAsia" w:ascii="仿宋" w:hAnsi="仿宋" w:eastAsia="仿宋" w:cs="Times New Roman"/>
                <w:color w:val="333333"/>
                <w:kern w:val="0"/>
                <w:sz w:val="32"/>
                <w:szCs w:val="32"/>
              </w:rPr>
              <w:t>公务用车购置</w:t>
            </w:r>
          </w:p>
        </w:tc>
        <w:tc>
          <w:tcPr>
            <w:tcW w:w="215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71986434">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c>
          <w:tcPr>
            <w:tcW w:w="2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00E4057">
            <w:pPr>
              <w:widowControl/>
              <w:jc w:val="center"/>
              <w:rPr>
                <w:rFonts w:ascii="Times New Roman" w:hAnsi="Times New Roman" w:eastAsia="宋体" w:cs="Times New Roman"/>
                <w:color w:val="333333"/>
                <w:kern w:val="0"/>
                <w:sz w:val="32"/>
                <w:szCs w:val="32"/>
              </w:rPr>
            </w:pPr>
            <w:r>
              <w:rPr>
                <w:rFonts w:hint="eastAsia" w:ascii="仿宋" w:hAnsi="仿宋" w:eastAsia="仿宋" w:cs="Times New Roman"/>
                <w:color w:val="333333"/>
                <w:kern w:val="0"/>
                <w:sz w:val="32"/>
                <w:szCs w:val="32"/>
              </w:rPr>
              <w:t>0</w:t>
            </w:r>
          </w:p>
        </w:tc>
      </w:tr>
    </w:tbl>
    <w:p w14:paraId="655DE5C8">
      <w:pPr>
        <w:widowControl/>
        <w:shd w:val="clear" w:color="auto" w:fill="FFFFFF"/>
        <w:ind w:firstLine="640"/>
        <w:rPr>
          <w:rFonts w:ascii="Times New Roman" w:hAnsi="Times New Roman" w:eastAsia="宋体" w:cs="Times New Roman"/>
          <w:color w:val="333333"/>
          <w:kern w:val="0"/>
          <w:sz w:val="32"/>
          <w:szCs w:val="32"/>
        </w:rPr>
      </w:pPr>
      <w:r>
        <w:rPr>
          <w:rFonts w:ascii="Calibri" w:hAnsi="Calibri" w:eastAsia="黑体" w:cs="Calibri"/>
          <w:color w:val="333333"/>
          <w:kern w:val="0"/>
          <w:sz w:val="32"/>
          <w:szCs w:val="32"/>
        </w:rPr>
        <w:t>                                      </w:t>
      </w:r>
    </w:p>
    <w:p w14:paraId="550E094C">
      <w:pPr>
        <w:widowControl/>
        <w:shd w:val="clear" w:color="auto" w:fill="FFFFFF"/>
        <w:ind w:firstLine="640"/>
        <w:rPr>
          <w:rFonts w:ascii="Times New Roman" w:hAnsi="Times New Roman" w:eastAsia="宋体" w:cs="Times New Roman"/>
          <w:color w:val="333333"/>
          <w:kern w:val="0"/>
          <w:sz w:val="32"/>
          <w:szCs w:val="32"/>
        </w:rPr>
      </w:pPr>
      <w:r>
        <w:rPr>
          <w:rFonts w:hint="eastAsia" w:ascii="黑体" w:hAnsi="黑体" w:eastAsia="黑体" w:cs="Times New Roman"/>
          <w:color w:val="333333"/>
          <w:kern w:val="0"/>
          <w:sz w:val="32"/>
          <w:szCs w:val="32"/>
        </w:rPr>
        <w:t>二、2018年</w:t>
      </w:r>
      <w:r>
        <w:rPr>
          <w:rFonts w:hint="eastAsia" w:ascii="宋体" w:hAnsi="宋体" w:eastAsia="宋体" w:cs="Times New Roman"/>
          <w:b/>
          <w:bCs/>
          <w:color w:val="333333"/>
          <w:kern w:val="0"/>
          <w:sz w:val="32"/>
          <w:szCs w:val="32"/>
        </w:rPr>
        <w:t>度</w:t>
      </w:r>
      <w:r>
        <w:rPr>
          <w:rFonts w:hint="eastAsia" w:ascii="黑体" w:hAnsi="黑体" w:eastAsia="黑体" w:cs="Times New Roman"/>
          <w:color w:val="333333"/>
          <w:kern w:val="0"/>
          <w:sz w:val="32"/>
          <w:szCs w:val="32"/>
        </w:rPr>
        <w:t>一般公共预算财政拨款“三公”经费支出情况说明</w:t>
      </w:r>
    </w:p>
    <w:p w14:paraId="6E0000B1">
      <w:pPr>
        <w:widowControl/>
        <w:shd w:val="clear" w:color="auto" w:fill="FFFFFF"/>
        <w:ind w:firstLine="643"/>
        <w:rPr>
          <w:rFonts w:ascii="Times New Roman" w:hAnsi="Times New Roman" w:eastAsia="宋体" w:cs="Times New Roman"/>
          <w:color w:val="333333"/>
          <w:kern w:val="0"/>
          <w:sz w:val="32"/>
          <w:szCs w:val="32"/>
        </w:rPr>
      </w:pPr>
      <w:r>
        <w:rPr>
          <w:rFonts w:hint="eastAsia" w:ascii="仿宋_GB2312" w:hAnsi="仿宋" w:eastAsia="仿宋_GB2312" w:cs="Times New Roman"/>
          <w:b/>
          <w:bCs/>
          <w:color w:val="333333"/>
          <w:kern w:val="0"/>
          <w:sz w:val="32"/>
          <w:szCs w:val="32"/>
        </w:rPr>
        <w:t>（一）一般公共预算财政拨款</w:t>
      </w:r>
      <w:r>
        <w:rPr>
          <w:rFonts w:hint="eastAsia" w:ascii="仿宋" w:hAnsi="仿宋" w:eastAsia="仿宋" w:cs="Times New Roman"/>
          <w:b/>
          <w:bCs/>
          <w:color w:val="333333"/>
          <w:kern w:val="0"/>
          <w:sz w:val="32"/>
          <w:szCs w:val="32"/>
        </w:rPr>
        <w:t>“三公”经费支出决算总体情况说明。</w:t>
      </w:r>
    </w:p>
    <w:p w14:paraId="153BA3D7">
      <w:pPr>
        <w:widowControl/>
        <w:shd w:val="clear" w:color="auto" w:fill="FFFFFF"/>
        <w:ind w:firstLine="640"/>
        <w:rPr>
          <w:rFonts w:ascii="Times New Roman" w:hAnsi="Times New Roman" w:eastAsia="宋体" w:cs="Times New Roman"/>
          <w:color w:val="333333"/>
          <w:kern w:val="0"/>
          <w:sz w:val="32"/>
          <w:szCs w:val="32"/>
        </w:rPr>
      </w:pPr>
      <w:r>
        <w:rPr>
          <w:rFonts w:hint="eastAsia" w:ascii="宋体" w:hAnsi="宋体" w:eastAsia="宋体" w:cs="Times New Roman"/>
          <w:color w:val="333333"/>
          <w:kern w:val="0"/>
          <w:sz w:val="32"/>
          <w:szCs w:val="32"/>
        </w:rPr>
        <w:t>安徽省六安市裕安区商贸物资协会2018年度一般公共预算财政拨款“三公”经费支出预算为7.5万元，支出决算为4.4万元，完成预算的58.67%，决算数小于预算数的主要原因是认真贯彻落实中央八项规定，推行厉行节约，反对铺张浪费，严格控制公务接待费。为全面反映“三公”经费支出，本次公布的“三公”经费决算为部门汇总数，包含协会本级和协会属单位。</w:t>
      </w:r>
    </w:p>
    <w:p w14:paraId="78D801E4">
      <w:pPr>
        <w:widowControl/>
        <w:shd w:val="clear" w:color="auto" w:fill="FFFFFF"/>
        <w:ind w:firstLine="643"/>
        <w:rPr>
          <w:rFonts w:ascii="Times New Roman" w:hAnsi="Times New Roman" w:eastAsia="宋体" w:cs="Times New Roman"/>
          <w:color w:val="333333"/>
          <w:kern w:val="0"/>
          <w:sz w:val="32"/>
          <w:szCs w:val="32"/>
        </w:rPr>
      </w:pPr>
      <w:r>
        <w:rPr>
          <w:rFonts w:hint="eastAsia" w:ascii="仿宋_GB2312" w:hAnsi="仿宋" w:eastAsia="仿宋_GB2312" w:cs="Times New Roman"/>
          <w:b/>
          <w:bCs/>
          <w:color w:val="333333"/>
          <w:kern w:val="0"/>
          <w:sz w:val="32"/>
          <w:szCs w:val="32"/>
        </w:rPr>
        <w:t>（二）一般公共预算财政拨款</w:t>
      </w:r>
      <w:r>
        <w:rPr>
          <w:rFonts w:hint="eastAsia" w:ascii="仿宋" w:hAnsi="仿宋" w:eastAsia="仿宋" w:cs="Times New Roman"/>
          <w:b/>
          <w:bCs/>
          <w:color w:val="333333"/>
          <w:kern w:val="0"/>
          <w:sz w:val="32"/>
          <w:szCs w:val="32"/>
        </w:rPr>
        <w:t>“三公”经费支出决算具体情况说明。</w:t>
      </w:r>
    </w:p>
    <w:p w14:paraId="4FF9841D">
      <w:pPr>
        <w:widowControl/>
        <w:shd w:val="clear" w:color="auto" w:fill="FFFFFF"/>
        <w:ind w:firstLine="640"/>
        <w:rPr>
          <w:rFonts w:ascii="Times New Roman" w:hAnsi="Times New Roman" w:eastAsia="宋体" w:cs="Times New Roman"/>
          <w:color w:val="333333"/>
          <w:kern w:val="0"/>
          <w:sz w:val="32"/>
          <w:szCs w:val="32"/>
        </w:rPr>
      </w:pPr>
      <w:r>
        <w:rPr>
          <w:rFonts w:hint="eastAsia" w:ascii="宋体" w:hAnsi="宋体" w:eastAsia="宋体" w:cs="Times New Roman"/>
          <w:color w:val="333333"/>
          <w:kern w:val="0"/>
          <w:sz w:val="32"/>
          <w:szCs w:val="32"/>
        </w:rPr>
        <w:t>安徽省六安市裕安区商贸物资协会2018年度一般公共预算财政拨款“三公”经费支出决算中，因公出国（境）费支出决算0万元，占0%;公务接待费支出决算4.4万元，占100%；公务用车购置及运行费支出决算0万元，占0%。具体情况如下：</w:t>
      </w:r>
    </w:p>
    <w:p w14:paraId="3B80F15F">
      <w:pPr>
        <w:widowControl/>
        <w:shd w:val="clear" w:color="auto" w:fill="FFFFFF"/>
        <w:ind w:firstLine="628"/>
        <w:rPr>
          <w:rFonts w:ascii="Times New Roman" w:hAnsi="Times New Roman" w:eastAsia="宋体" w:cs="Times New Roman"/>
          <w:color w:val="333333"/>
          <w:kern w:val="0"/>
          <w:sz w:val="32"/>
          <w:szCs w:val="32"/>
        </w:rPr>
      </w:pPr>
      <w:r>
        <w:rPr>
          <w:rFonts w:hint="eastAsia" w:ascii="宋体" w:hAnsi="宋体" w:eastAsia="宋体" w:cs="Times New Roman"/>
          <w:color w:val="333333"/>
          <w:kern w:val="0"/>
          <w:sz w:val="32"/>
          <w:szCs w:val="32"/>
        </w:rPr>
        <w:t>1.因公出国（境）费支出0万元，与2017年度决算相比，持平。与2018年度预算相比，持平。2018年安徽省六安市裕安区商贸物资协会因公出国（境）团组0次，累计出国（境）0人次。该项经费根据外办批准的因公临时出国（境）计划，按照规定标准安排。经费使用严格按照《安徽省省直党政机关因公临时出国经费管理办法》（财行〔2014〕104号）、《安徽省省直党政机关因公短期出国培训费用管理办法》（财行〔2014〕527号）等相关规定执行。</w:t>
      </w:r>
    </w:p>
    <w:p w14:paraId="7D3C278D">
      <w:pPr>
        <w:widowControl/>
        <w:shd w:val="clear" w:color="auto" w:fill="FFFFFF"/>
        <w:rPr>
          <w:rFonts w:ascii="Times New Roman" w:hAnsi="Times New Roman" w:eastAsia="宋体" w:cs="Times New Roman"/>
          <w:color w:val="333333"/>
          <w:kern w:val="0"/>
          <w:sz w:val="32"/>
          <w:szCs w:val="32"/>
        </w:rPr>
      </w:pPr>
      <w:r>
        <w:rPr>
          <w:rFonts w:hint="eastAsia" w:ascii="宋体" w:hAnsi="宋体" w:eastAsia="宋体" w:cs="Times New Roman"/>
          <w:color w:val="333333"/>
          <w:kern w:val="0"/>
          <w:sz w:val="32"/>
          <w:szCs w:val="32"/>
        </w:rPr>
        <w:t>  2.公务接待费支出4.4万元, 完成2018年度预算58.67%，与2017年度决算相比，减少0.34万元，下降7.17%，下降的原因是认真贯彻落实中央八项规定，推行厉行节约，反对铺张浪费，严格控制公务接待费。2018年裕安区商贸物资协会国内公务接待共48批次（其中外事接待0批次），572人次（其中外事接待0批次）。主要是用于招商、拆迁和维稳等工作。经费使用贯彻党中央八项规定和省委省政府30条要求，严格执行《党政机关厉行节约反对浪费条例》相关规定。</w:t>
      </w:r>
      <w:bookmarkStart w:id="0" w:name="_GoBack"/>
      <w:bookmarkEnd w:id="0"/>
    </w:p>
    <w:p w14:paraId="4B3143F7">
      <w:pPr>
        <w:widowControl/>
        <w:shd w:val="clear" w:color="auto" w:fill="FFFFFF"/>
        <w:ind w:firstLine="640" w:firstLineChars="200"/>
        <w:rPr>
          <w:rFonts w:ascii="Times New Roman" w:hAnsi="Times New Roman" w:eastAsia="宋体" w:cs="Times New Roman"/>
          <w:color w:val="333333"/>
          <w:kern w:val="0"/>
          <w:sz w:val="32"/>
          <w:szCs w:val="32"/>
        </w:rPr>
      </w:pPr>
      <w:r>
        <w:rPr>
          <w:rFonts w:hint="eastAsia" w:ascii="宋体" w:hAnsi="宋体" w:eastAsia="宋体" w:cs="Times New Roman"/>
          <w:color w:val="333333"/>
          <w:kern w:val="0"/>
          <w:sz w:val="32"/>
          <w:szCs w:val="32"/>
        </w:rPr>
        <w:t>3.公务用车购置及运行费支出0万元，与2017年度决算持平，与2018年度预算持平。2018年没有安排公务用车购置费和公务用车运行维护费。2018年末，安徽省六安市裕安区商贸物资协会机关及所属单位开支财政拨款的公务用车保有量为0辆。</w:t>
      </w:r>
    </w:p>
    <w:p w14:paraId="1839E8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25"/>
    <w:rsid w:val="004E2E25"/>
    <w:rsid w:val="00525145"/>
    <w:rsid w:val="005B0EB7"/>
    <w:rsid w:val="007063D0"/>
    <w:rsid w:val="2263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484</Words>
  <Characters>528</Characters>
  <Lines>8</Lines>
  <Paragraphs>2</Paragraphs>
  <TotalTime>6</TotalTime>
  <ScaleCrop>false</ScaleCrop>
  <LinksUpToDate>false</LinksUpToDate>
  <CharactersWithSpaces>588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2021-05-28T07:18:00Z</dcterms:created>
  <dc:creator>fox</dc:creator>
  <cp:lastModifiedBy>Administrator</cp:lastModifiedBy>
  <dcterms:modified xsi:type="dcterms:W3CDTF">2025-04-15T02:56:31Z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eyJoZGlkIjoiN2NjZWMzNDIyNTg1ZjMzMDM0MjIzZmQ4NmYwMTdmYzUifQ==</vt:lpwstr>
  </property>
  <property fmtid="{D5CDD505-2E9C-101B-9397-08002B2CF9AE}" pid="3" name="KSOProductBuildVer">
    <vt:lpwstr>2052-12.1.0.20784</vt:lpwstr>
  </property>
  <property fmtid="{D5CDD505-2E9C-101B-9397-08002B2CF9AE}" pid="4" name="ICV">
    <vt:lpwstr>463E4D0F304246E1B1876428CC1C7D08_12</vt:lpwstr>
  </property>
</Properties>
</file>