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eastAsia="zh-CN"/>
          <w14:textFill>
            <w14:solidFill>
              <w14:schemeClr w14:val="tx1"/>
            </w14:solidFill>
          </w14:textFill>
        </w:rPr>
        <w:t>2025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六安市裕安区瓶装液化石油气调压器</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spacing w:line="400" w:lineRule="exact"/>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本细则适用于六安市裕安区市场监督管理局组织的瓶装液化石油气调压器产品质量监督抽查。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瓶装液化石油气调压器</w:t>
      </w:r>
      <w:r>
        <w:rPr>
          <w:rFonts w:hint="eastAsia" w:ascii="宋体" w:hAnsi="宋体" w:eastAsia="宋体" w:cs="宋体"/>
          <w:highlight w:val="none"/>
          <w:lang w:val="en-US" w:eastAsia="zh-CN"/>
        </w:rPr>
        <w:t>。</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spacing w:line="400" w:lineRule="exact"/>
        <w:rPr>
          <w:rFonts w:ascii="宋体" w:hAnsi="宋体"/>
          <w:b/>
        </w:rPr>
      </w:pPr>
      <w:r>
        <w:rPr>
          <w:rFonts w:hint="eastAsia" w:ascii="宋体" w:hAnsi="宋体"/>
          <w:b/>
        </w:rPr>
        <w:t>2  抽样</w:t>
      </w:r>
    </w:p>
    <w:p w14:paraId="6833A493">
      <w:pPr>
        <w:spacing w:line="400" w:lineRule="exact"/>
        <w:rPr>
          <w:rFonts w:ascii="宋体" w:hAnsi="宋体"/>
          <w:b/>
        </w:rPr>
      </w:pPr>
      <w:r>
        <w:rPr>
          <w:rFonts w:hint="eastAsia" w:ascii="宋体" w:hAnsi="宋体"/>
          <w:b/>
        </w:rPr>
        <w:t>2.1  抽样型号或规格</w:t>
      </w:r>
    </w:p>
    <w:p w14:paraId="5C9C0725">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spacing w:line="400" w:lineRule="exact"/>
        <w:rPr>
          <w:rFonts w:ascii="宋体" w:hAnsi="宋体"/>
          <w:b/>
        </w:rPr>
      </w:pPr>
      <w:r>
        <w:rPr>
          <w:rFonts w:hint="eastAsia" w:ascii="宋体" w:hAnsi="宋体"/>
          <w:b/>
        </w:rPr>
        <w:t>2.2  抽样方法、抽样数量</w:t>
      </w:r>
    </w:p>
    <w:p w14:paraId="3F71A992">
      <w:pPr>
        <w:spacing w:line="400" w:lineRule="exact"/>
        <w:rPr>
          <w:rFonts w:ascii="宋体" w:hAnsi="宋体"/>
          <w:b/>
        </w:rPr>
      </w:pPr>
      <w:r>
        <w:rPr>
          <w:rFonts w:hint="eastAsia" w:ascii="宋体" w:hAnsi="宋体"/>
          <w:b/>
        </w:rPr>
        <w:t>2.2.1  生产企业和市场实体店</w:t>
      </w:r>
    </w:p>
    <w:p w14:paraId="18601120">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068B24A7">
      <w:pPr>
        <w:adjustRightInd w:val="0"/>
        <w:snapToGrid w:val="0"/>
        <w:spacing w:line="440" w:lineRule="exact"/>
        <w:ind w:firstLine="420" w:firstLineChars="200"/>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4个</w:t>
      </w:r>
      <w:r>
        <w:rPr>
          <w:rFonts w:hint="eastAsia" w:ascii="宋体" w:hAnsi="宋体" w:eastAsia="宋体" w:cs="宋体"/>
          <w:lang w:val="en-US" w:eastAsia="zh-CN"/>
        </w:rPr>
        <w:t>，其中</w:t>
      </w:r>
      <w:r>
        <w:rPr>
          <w:rFonts w:hint="eastAsia" w:ascii="宋体" w:hAnsi="宋体" w:cs="宋体"/>
          <w:lang w:val="en-US" w:eastAsia="zh-CN"/>
        </w:rPr>
        <w:t>2个</w:t>
      </w:r>
      <w:r>
        <w:rPr>
          <w:rFonts w:hint="eastAsia" w:ascii="宋体" w:hAnsi="宋体" w:eastAsia="宋体" w:cs="宋体"/>
          <w:lang w:val="en-US" w:eastAsia="zh-CN"/>
        </w:rPr>
        <w:t>作为检验样品，</w:t>
      </w:r>
      <w:r>
        <w:rPr>
          <w:rFonts w:hint="eastAsia" w:ascii="宋体" w:hAnsi="宋体" w:cs="宋体"/>
          <w:lang w:val="en-US" w:eastAsia="zh-CN"/>
        </w:rPr>
        <w:t>2个</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2020C7A3">
      <w:pPr>
        <w:spacing w:line="400" w:lineRule="exact"/>
        <w:rPr>
          <w:rFonts w:ascii="宋体" w:hAnsi="宋体"/>
          <w:b/>
          <w:highlight w:val="none"/>
        </w:rPr>
      </w:pPr>
      <w:r>
        <w:rPr>
          <w:rFonts w:hint="eastAsia" w:ascii="宋体" w:hAnsi="宋体"/>
          <w:b/>
          <w:highlight w:val="none"/>
        </w:rPr>
        <w:t>2.2.2  电子商务领域</w:t>
      </w:r>
    </w:p>
    <w:p w14:paraId="49441879">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0B6138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4个</w:t>
      </w:r>
      <w:r>
        <w:rPr>
          <w:rFonts w:hint="eastAsia" w:ascii="宋体" w:hAnsi="宋体" w:eastAsia="宋体" w:cs="宋体"/>
          <w:lang w:val="en-US" w:eastAsia="zh-CN"/>
        </w:rPr>
        <w:t>，其中</w:t>
      </w:r>
      <w:r>
        <w:rPr>
          <w:rFonts w:hint="eastAsia" w:ascii="宋体" w:hAnsi="宋体" w:cs="宋体"/>
          <w:lang w:val="en-US" w:eastAsia="zh-CN"/>
        </w:rPr>
        <w:t>2个</w:t>
      </w:r>
      <w:r>
        <w:rPr>
          <w:rFonts w:hint="eastAsia" w:ascii="宋体" w:hAnsi="宋体" w:eastAsia="宋体" w:cs="宋体"/>
          <w:lang w:val="en-US" w:eastAsia="zh-CN"/>
        </w:rPr>
        <w:t>作为检验样品，</w:t>
      </w:r>
      <w:r>
        <w:rPr>
          <w:rFonts w:hint="eastAsia" w:ascii="宋体" w:hAnsi="宋体" w:cs="宋体"/>
          <w:lang w:val="en-US" w:eastAsia="zh-CN"/>
        </w:rPr>
        <w:t>2个</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7EF1EFA4">
      <w:pPr>
        <w:spacing w:line="400" w:lineRule="exact"/>
        <w:rPr>
          <w:rFonts w:ascii="宋体" w:hAnsi="宋体"/>
          <w:b/>
        </w:rPr>
      </w:pPr>
      <w:r>
        <w:rPr>
          <w:rFonts w:hint="eastAsia" w:ascii="宋体" w:hAnsi="宋体"/>
          <w:b/>
        </w:rPr>
        <w:t>2.3  样品处置</w:t>
      </w:r>
    </w:p>
    <w:p w14:paraId="0CA513FD">
      <w:pPr>
        <w:spacing w:line="400" w:lineRule="exact"/>
        <w:rPr>
          <w:rFonts w:ascii="宋体" w:hAnsi="宋体"/>
          <w:b/>
        </w:rPr>
      </w:pPr>
      <w:r>
        <w:rPr>
          <w:rFonts w:hint="eastAsia" w:ascii="宋体" w:hAnsi="宋体"/>
          <w:b/>
        </w:rPr>
        <w:t>2.3.1  生产企业和市场实体店</w:t>
      </w:r>
    </w:p>
    <w:p w14:paraId="756494F8">
      <w:pPr>
        <w:spacing w:line="400" w:lineRule="exact"/>
        <w:ind w:firstLine="420" w:firstLineChars="200"/>
        <w:rPr>
          <w:rFonts w:ascii="宋体" w:hAnsi="宋体"/>
        </w:rPr>
      </w:pPr>
      <w:bookmarkStart w:id="0" w:name="OLE_LINK1"/>
      <w:bookmarkStart w:id="1" w:name="OLE_LINK3"/>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03E8516C">
      <w:pPr>
        <w:spacing w:line="400" w:lineRule="exact"/>
        <w:rPr>
          <w:rFonts w:ascii="宋体" w:hAnsi="宋体"/>
          <w:b/>
          <w:highlight w:val="none"/>
        </w:rPr>
      </w:pPr>
      <w:r>
        <w:rPr>
          <w:rFonts w:hint="eastAsia" w:ascii="宋体" w:hAnsi="宋体"/>
          <w:b/>
          <w:highlight w:val="none"/>
        </w:rPr>
        <w:t>2.3.2  电子商务领域</w:t>
      </w:r>
    </w:p>
    <w:p w14:paraId="5B27F9E4">
      <w:pPr>
        <w:spacing w:line="400" w:lineRule="exact"/>
        <w:ind w:firstLine="420" w:firstLineChars="200"/>
        <w:rPr>
          <w:rFonts w:ascii="宋体" w:hAnsi="宋体"/>
        </w:rPr>
      </w:pPr>
      <w:r>
        <w:rPr>
          <w:rFonts w:ascii="宋体" w:hAnsi="宋体"/>
        </w:rPr>
        <w:t>样品签收后，应对样品进行拆样、取证、封样、信息记录等操作。</w:t>
      </w:r>
    </w:p>
    <w:p w14:paraId="4AACA1CB">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5B47103E">
      <w:pPr>
        <w:spacing w:line="400" w:lineRule="exact"/>
        <w:ind w:firstLine="420" w:firstLineChars="200"/>
        <w:rPr>
          <w:rFonts w:ascii="宋体" w:hAnsi="宋体"/>
        </w:rPr>
      </w:pPr>
      <w:r>
        <w:rPr>
          <w:rFonts w:ascii="宋体" w:hAnsi="宋体"/>
        </w:rPr>
        <w:t>抽样人员应在封样单上签名，注明封样日期、抽样单编号。</w:t>
      </w:r>
    </w:p>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spacing w:line="400" w:lineRule="exact"/>
        <w:rPr>
          <w:rFonts w:hint="eastAsia" w:ascii="宋体" w:hAnsi="宋体"/>
          <w:b/>
        </w:rPr>
      </w:pPr>
      <w:r>
        <w:rPr>
          <w:rFonts w:hint="eastAsia" w:ascii="宋体" w:hAnsi="宋体"/>
          <w:b/>
        </w:rPr>
        <w:t>3  检验依据</w:t>
      </w:r>
    </w:p>
    <w:p w14:paraId="626765D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eastAsia="宋体" w:cs="宋体"/>
          <w:sz w:val="21"/>
          <w:szCs w:val="21"/>
          <w:lang w:val="en-US" w:eastAsia="zh-CN"/>
        </w:rPr>
        <w:t>瓶装液化石油气调压器</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899"/>
        <w:gridCol w:w="3340"/>
        <w:gridCol w:w="4220"/>
      </w:tblGrid>
      <w:tr w14:paraId="3927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076F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gridSpan w:val="2"/>
            <w:noWrap w:val="0"/>
            <w:vAlign w:val="center"/>
          </w:tcPr>
          <w:p w14:paraId="2BE74C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417583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3676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65A7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899" w:type="dxa"/>
            <w:vMerge w:val="restart"/>
            <w:noWrap w:val="0"/>
            <w:vAlign w:val="center"/>
          </w:tcPr>
          <w:p w14:paraId="1E5E12E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结构</w:t>
            </w:r>
          </w:p>
        </w:tc>
        <w:tc>
          <w:tcPr>
            <w:tcW w:w="3340" w:type="dxa"/>
            <w:noWrap w:val="0"/>
            <w:vAlign w:val="center"/>
          </w:tcPr>
          <w:p w14:paraId="2684FAE5">
            <w:pPr>
              <w:snapToGrid w:val="0"/>
              <w:spacing w:line="300" w:lineRule="exact"/>
              <w:jc w:val="center"/>
              <w:rPr>
                <w:rFonts w:hint="eastAsia" w:ascii="宋体" w:hAnsi="宋体" w:eastAsia="宋体" w:cs="宋体"/>
                <w:color w:val="auto"/>
                <w:sz w:val="21"/>
                <w:szCs w:val="21"/>
                <w:highlight w:val="none"/>
                <w:lang w:val="en-US" w:eastAsia="zh-CN"/>
              </w:rPr>
            </w:pPr>
            <w:r>
              <w:rPr>
                <w:bCs/>
                <w:szCs w:val="21"/>
              </w:rPr>
              <w:t>一般要求</w:t>
            </w:r>
          </w:p>
        </w:tc>
        <w:tc>
          <w:tcPr>
            <w:tcW w:w="4220" w:type="dxa"/>
            <w:noWrap w:val="0"/>
            <w:vAlign w:val="center"/>
          </w:tcPr>
          <w:p w14:paraId="39B0E3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35844-2018</w:t>
            </w:r>
          </w:p>
        </w:tc>
      </w:tr>
      <w:tr w14:paraId="7584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C0456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899" w:type="dxa"/>
            <w:vMerge w:val="continue"/>
            <w:noWrap w:val="0"/>
            <w:vAlign w:val="center"/>
          </w:tcPr>
          <w:p w14:paraId="6CD428B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p>
        </w:tc>
        <w:tc>
          <w:tcPr>
            <w:tcW w:w="3340" w:type="dxa"/>
            <w:noWrap w:val="0"/>
            <w:vAlign w:val="center"/>
          </w:tcPr>
          <w:p w14:paraId="31600781">
            <w:pPr>
              <w:snapToGrid w:val="0"/>
              <w:spacing w:line="300" w:lineRule="exact"/>
              <w:jc w:val="center"/>
              <w:rPr>
                <w:rFonts w:hint="eastAsia" w:ascii="宋体" w:hAnsi="宋体" w:eastAsia="宋体" w:cs="宋体"/>
                <w:color w:val="auto"/>
                <w:sz w:val="21"/>
                <w:szCs w:val="21"/>
                <w:highlight w:val="none"/>
                <w:lang w:val="en-US" w:eastAsia="zh-CN"/>
              </w:rPr>
            </w:pPr>
            <w:r>
              <w:rPr>
                <w:bCs/>
                <w:szCs w:val="21"/>
              </w:rPr>
              <w:t>调压器的接头组件</w:t>
            </w:r>
          </w:p>
        </w:tc>
        <w:tc>
          <w:tcPr>
            <w:tcW w:w="4220" w:type="dxa"/>
            <w:noWrap w:val="0"/>
            <w:vAlign w:val="center"/>
          </w:tcPr>
          <w:p w14:paraId="2619D2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35844-2018</w:t>
            </w:r>
          </w:p>
        </w:tc>
      </w:tr>
      <w:tr w14:paraId="7320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A6C8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899" w:type="dxa"/>
            <w:vMerge w:val="continue"/>
            <w:noWrap w:val="0"/>
            <w:vAlign w:val="center"/>
          </w:tcPr>
          <w:p w14:paraId="44D4690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p>
        </w:tc>
        <w:tc>
          <w:tcPr>
            <w:tcW w:w="3340" w:type="dxa"/>
            <w:noWrap w:val="0"/>
            <w:vAlign w:val="center"/>
          </w:tcPr>
          <w:p w14:paraId="0CECDAC3">
            <w:pPr>
              <w:snapToGrid w:val="0"/>
              <w:spacing w:line="300" w:lineRule="exact"/>
              <w:jc w:val="center"/>
              <w:rPr>
                <w:rFonts w:hint="eastAsia" w:ascii="宋体" w:hAnsi="宋体" w:eastAsia="宋体" w:cs="宋体"/>
                <w:color w:val="auto"/>
                <w:sz w:val="21"/>
                <w:szCs w:val="21"/>
                <w:highlight w:val="none"/>
                <w:lang w:val="en-US" w:eastAsia="zh-CN"/>
              </w:rPr>
            </w:pPr>
            <w:r>
              <w:rPr>
                <w:rFonts w:hint="eastAsia"/>
                <w:bCs/>
                <w:szCs w:val="21"/>
              </w:rPr>
              <w:t>压力或流量安全装置</w:t>
            </w:r>
          </w:p>
        </w:tc>
        <w:tc>
          <w:tcPr>
            <w:tcW w:w="4220" w:type="dxa"/>
            <w:noWrap w:val="0"/>
            <w:vAlign w:val="center"/>
          </w:tcPr>
          <w:p w14:paraId="4A5BAA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35844-2018</w:t>
            </w:r>
          </w:p>
        </w:tc>
      </w:tr>
      <w:tr w14:paraId="7CBB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8419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gridSpan w:val="2"/>
            <w:noWrap w:val="0"/>
            <w:vAlign w:val="center"/>
          </w:tcPr>
          <w:p w14:paraId="0B06486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气密性</w:t>
            </w:r>
          </w:p>
        </w:tc>
        <w:tc>
          <w:tcPr>
            <w:tcW w:w="4220" w:type="dxa"/>
            <w:noWrap w:val="0"/>
            <w:vAlign w:val="center"/>
          </w:tcPr>
          <w:p w14:paraId="5B000E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35844-2018</w:t>
            </w:r>
          </w:p>
        </w:tc>
      </w:tr>
      <w:tr w14:paraId="4B98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13D6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gridSpan w:val="2"/>
            <w:noWrap w:val="0"/>
            <w:vAlign w:val="center"/>
          </w:tcPr>
          <w:p w14:paraId="4149CF1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关闭压力</w:t>
            </w:r>
          </w:p>
        </w:tc>
        <w:tc>
          <w:tcPr>
            <w:tcW w:w="4220" w:type="dxa"/>
            <w:noWrap w:val="0"/>
            <w:vAlign w:val="center"/>
          </w:tcPr>
          <w:p w14:paraId="5A4A0E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35844-2018</w:t>
            </w:r>
          </w:p>
        </w:tc>
      </w:tr>
      <w:tr w14:paraId="76F05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4DF8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gridSpan w:val="2"/>
            <w:noWrap w:val="0"/>
            <w:vAlign w:val="center"/>
          </w:tcPr>
          <w:p w14:paraId="2540968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出口压力</w:t>
            </w:r>
          </w:p>
        </w:tc>
        <w:tc>
          <w:tcPr>
            <w:tcW w:w="4220" w:type="dxa"/>
            <w:noWrap w:val="0"/>
            <w:vAlign w:val="center"/>
          </w:tcPr>
          <w:p w14:paraId="78F166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35844-2018</w:t>
            </w:r>
          </w:p>
        </w:tc>
      </w:tr>
      <w:tr w14:paraId="6972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82" w:type="dxa"/>
            <w:gridSpan w:val="4"/>
            <w:noWrap w:val="0"/>
            <w:vAlign w:val="center"/>
          </w:tcPr>
          <w:p w14:paraId="7345A612">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注：1.一般要求的检验项目为GB 35844-2018中5.2.1.3；</w:t>
            </w:r>
          </w:p>
          <w:p w14:paraId="6747D9E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2.调压器的接头组件的检验项目为GB 35844-2018中5.2.5.2手轮外径和宽度、5.2.5.3软管连接接头外径、5.2.5.4；</w:t>
            </w:r>
          </w:p>
          <w:p w14:paraId="58004DC4">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auto"/>
                <w:sz w:val="21"/>
                <w:szCs w:val="21"/>
              </w:rPr>
              <w:t>3.</w:t>
            </w:r>
            <w:bookmarkStart w:id="3" w:name="_GoBack"/>
            <w:bookmarkEnd w:id="3"/>
            <w:r>
              <w:rPr>
                <w:rFonts w:hint="eastAsia" w:ascii="宋体" w:hAnsi="宋体" w:eastAsia="宋体" w:cs="宋体"/>
                <w:color w:val="auto"/>
                <w:sz w:val="21"/>
                <w:szCs w:val="21"/>
              </w:rPr>
              <w:t>压力或流量安全装置的检验项目为GB 35844-2018中附录C.3.2、C.3.3</w:t>
            </w:r>
          </w:p>
        </w:tc>
      </w:tr>
    </w:tbl>
    <w:p w14:paraId="0DFBA3BF">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4D6CC710">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561F624">
      <w:pPr>
        <w:spacing w:line="400" w:lineRule="exact"/>
        <w:rPr>
          <w:rFonts w:ascii="宋体" w:hAnsi="宋体"/>
          <w:b/>
        </w:rPr>
      </w:pPr>
      <w:r>
        <w:rPr>
          <w:rFonts w:hint="eastAsia" w:ascii="宋体" w:hAnsi="宋体"/>
          <w:b/>
        </w:rPr>
        <w:t>4  判定规则</w:t>
      </w:r>
    </w:p>
    <w:p w14:paraId="7AF37D58">
      <w:pPr>
        <w:spacing w:line="400" w:lineRule="exact"/>
        <w:rPr>
          <w:rFonts w:ascii="宋体" w:hAnsi="宋体"/>
          <w:b/>
        </w:rPr>
      </w:pPr>
      <w:r>
        <w:rPr>
          <w:rFonts w:hint="eastAsia" w:ascii="宋体" w:hAnsi="宋体"/>
          <w:b/>
        </w:rPr>
        <w:t>4.1  依据标准</w:t>
      </w:r>
    </w:p>
    <w:p w14:paraId="50765729">
      <w:pPr>
        <w:adjustRightInd w:val="0"/>
        <w:snapToGrid w:val="0"/>
        <w:spacing w:line="44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GB 35844-2018瓶装液化石油气调压器</w:t>
      </w:r>
    </w:p>
    <w:p w14:paraId="0A8AA69B">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15906178">
      <w:pPr>
        <w:spacing w:line="400" w:lineRule="exact"/>
        <w:rPr>
          <w:rFonts w:ascii="宋体" w:hAnsi="宋体"/>
          <w:b/>
        </w:rPr>
      </w:pPr>
      <w:r>
        <w:rPr>
          <w:rFonts w:hint="eastAsia" w:ascii="宋体" w:hAnsi="宋体"/>
          <w:b/>
        </w:rPr>
        <w:t>4.2  判定原则</w:t>
      </w:r>
    </w:p>
    <w:p w14:paraId="4050332B">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6A0E1C49">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03325E6E">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21F0DC3D">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7F9FE30B">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7C7890AF">
      <w:pPr>
        <w:spacing w:line="400" w:lineRule="exact"/>
        <w:rPr>
          <w:rFonts w:ascii="宋体" w:hAnsi="宋体"/>
          <w:b/>
        </w:rPr>
      </w:pPr>
      <w:r>
        <w:rPr>
          <w:rFonts w:hint="eastAsia" w:ascii="宋体" w:hAnsi="宋体"/>
          <w:b/>
        </w:rPr>
        <w:t>4.3  结论用语</w:t>
      </w:r>
    </w:p>
    <w:p w14:paraId="379E5DCF">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w:t>
      </w:r>
      <w:r>
        <w:rPr>
          <w:rFonts w:hint="eastAsia" w:ascii="宋体" w:hAnsi="宋体"/>
          <w:lang w:eastAsia="zh-CN"/>
        </w:rPr>
        <w:t>2025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瓶装液化石油气调压器</w:t>
      </w:r>
      <w:r>
        <w:rPr>
          <w:rFonts w:hint="eastAsia" w:ascii="宋体" w:hAnsi="宋体"/>
          <w:color w:val="auto"/>
          <w:highlight w:val="none"/>
        </w:rPr>
        <w:t>产品</w:t>
      </w:r>
      <w:r>
        <w:rPr>
          <w:rFonts w:hint="eastAsia" w:ascii="宋体" w:hAnsi="宋体"/>
        </w:rPr>
        <w:t>质量监督抽查实施细则》</w:t>
      </w:r>
      <w:r>
        <w:rPr>
          <w:rFonts w:ascii="宋体" w:hAnsi="宋体"/>
        </w:rPr>
        <w:t>，</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w:t>
      </w:r>
      <w:r>
        <w:rPr>
          <w:rFonts w:hint="eastAsia" w:ascii="宋体" w:hAnsi="宋体"/>
          <w:color w:val="auto"/>
          <w:lang w:eastAsia="zh-CN"/>
        </w:rPr>
        <w:t>2025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瓶装液化石油气调压器</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FE2A5F">
      <w:pPr>
        <w:spacing w:line="400" w:lineRule="exact"/>
        <w:rPr>
          <w:rFonts w:ascii="宋体" w:hAnsi="宋体"/>
          <w:b/>
        </w:rPr>
      </w:pPr>
      <w:r>
        <w:rPr>
          <w:rFonts w:hint="eastAsia" w:ascii="宋体" w:hAnsi="宋体"/>
          <w:b/>
        </w:rPr>
        <w:t>5  附则</w:t>
      </w:r>
    </w:p>
    <w:p w14:paraId="40090FCC">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655A09"/>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8CB0CA3"/>
    <w:rsid w:val="093C394F"/>
    <w:rsid w:val="096802A0"/>
    <w:rsid w:val="096D4E25"/>
    <w:rsid w:val="0978425B"/>
    <w:rsid w:val="09A410D3"/>
    <w:rsid w:val="09A45050"/>
    <w:rsid w:val="09E35B78"/>
    <w:rsid w:val="09F63AFE"/>
    <w:rsid w:val="0A0A1357"/>
    <w:rsid w:val="0A0D7099"/>
    <w:rsid w:val="0A2D5046"/>
    <w:rsid w:val="0A6A629A"/>
    <w:rsid w:val="0A8E01DA"/>
    <w:rsid w:val="0A8F42DC"/>
    <w:rsid w:val="0B09160F"/>
    <w:rsid w:val="0B0E4E77"/>
    <w:rsid w:val="0B13248D"/>
    <w:rsid w:val="0B974E6D"/>
    <w:rsid w:val="0BB51797"/>
    <w:rsid w:val="0BB7585C"/>
    <w:rsid w:val="0BDB744F"/>
    <w:rsid w:val="0BF95B27"/>
    <w:rsid w:val="0C3D1EB8"/>
    <w:rsid w:val="0C4F4BC7"/>
    <w:rsid w:val="0C550884"/>
    <w:rsid w:val="0C7D22B4"/>
    <w:rsid w:val="0CA041F5"/>
    <w:rsid w:val="0CA37841"/>
    <w:rsid w:val="0CA43CE5"/>
    <w:rsid w:val="0CE538D2"/>
    <w:rsid w:val="0CE9794A"/>
    <w:rsid w:val="0CEC743A"/>
    <w:rsid w:val="0CEF2A86"/>
    <w:rsid w:val="0D1349C7"/>
    <w:rsid w:val="0D1A3FA7"/>
    <w:rsid w:val="0D2A1D10"/>
    <w:rsid w:val="0D3B5CCB"/>
    <w:rsid w:val="0D662D48"/>
    <w:rsid w:val="0D755681"/>
    <w:rsid w:val="0D766D04"/>
    <w:rsid w:val="0DA41AC3"/>
    <w:rsid w:val="0DDF2AFB"/>
    <w:rsid w:val="0DED6FC6"/>
    <w:rsid w:val="0E0D1416"/>
    <w:rsid w:val="0E2844A2"/>
    <w:rsid w:val="0E71409B"/>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7A1044"/>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E35B95"/>
    <w:rsid w:val="18F27B86"/>
    <w:rsid w:val="190653E0"/>
    <w:rsid w:val="193B777F"/>
    <w:rsid w:val="19461C80"/>
    <w:rsid w:val="196A0064"/>
    <w:rsid w:val="1A023DF9"/>
    <w:rsid w:val="1A0E6C4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E136C7"/>
    <w:rsid w:val="1DFD1C32"/>
    <w:rsid w:val="1E37603B"/>
    <w:rsid w:val="1E990AA4"/>
    <w:rsid w:val="1EA14EF1"/>
    <w:rsid w:val="1EDA3596"/>
    <w:rsid w:val="1F49071C"/>
    <w:rsid w:val="1F5A46D7"/>
    <w:rsid w:val="1FAA11BB"/>
    <w:rsid w:val="1FBF453A"/>
    <w:rsid w:val="1FD004F5"/>
    <w:rsid w:val="20A976C4"/>
    <w:rsid w:val="20FD356C"/>
    <w:rsid w:val="21294361"/>
    <w:rsid w:val="215A451A"/>
    <w:rsid w:val="21635AC5"/>
    <w:rsid w:val="21C347B6"/>
    <w:rsid w:val="21C45C2A"/>
    <w:rsid w:val="21E8421C"/>
    <w:rsid w:val="221C3EC6"/>
    <w:rsid w:val="225304F1"/>
    <w:rsid w:val="226C6BFB"/>
    <w:rsid w:val="227710FC"/>
    <w:rsid w:val="22A5210D"/>
    <w:rsid w:val="22C205C9"/>
    <w:rsid w:val="22CF2CE6"/>
    <w:rsid w:val="23447230"/>
    <w:rsid w:val="235356C5"/>
    <w:rsid w:val="23CA4816"/>
    <w:rsid w:val="24150BCD"/>
    <w:rsid w:val="243C084F"/>
    <w:rsid w:val="24466FD8"/>
    <w:rsid w:val="24661428"/>
    <w:rsid w:val="248D27F1"/>
    <w:rsid w:val="253B0B07"/>
    <w:rsid w:val="2540611D"/>
    <w:rsid w:val="254E4396"/>
    <w:rsid w:val="25551BC9"/>
    <w:rsid w:val="25565941"/>
    <w:rsid w:val="25F0544D"/>
    <w:rsid w:val="26437C73"/>
    <w:rsid w:val="2650413E"/>
    <w:rsid w:val="26720558"/>
    <w:rsid w:val="269B7AAF"/>
    <w:rsid w:val="26B20955"/>
    <w:rsid w:val="27167A8B"/>
    <w:rsid w:val="273F48DE"/>
    <w:rsid w:val="27910EB2"/>
    <w:rsid w:val="27A961FC"/>
    <w:rsid w:val="27D41477"/>
    <w:rsid w:val="27E47234"/>
    <w:rsid w:val="281318C7"/>
    <w:rsid w:val="284101E2"/>
    <w:rsid w:val="287E31E4"/>
    <w:rsid w:val="288D3427"/>
    <w:rsid w:val="28A95D87"/>
    <w:rsid w:val="29226266"/>
    <w:rsid w:val="29341AF5"/>
    <w:rsid w:val="29673C78"/>
    <w:rsid w:val="29713F9E"/>
    <w:rsid w:val="29DD03DE"/>
    <w:rsid w:val="2A111E36"/>
    <w:rsid w:val="2A612DBE"/>
    <w:rsid w:val="2AA66A22"/>
    <w:rsid w:val="2ACA0963"/>
    <w:rsid w:val="2AD76BDC"/>
    <w:rsid w:val="2AFC2AE6"/>
    <w:rsid w:val="2B6B3768"/>
    <w:rsid w:val="2B944ACD"/>
    <w:rsid w:val="2BD17ACF"/>
    <w:rsid w:val="2BDB26FC"/>
    <w:rsid w:val="2C1D2D14"/>
    <w:rsid w:val="2CC47634"/>
    <w:rsid w:val="2CC77538"/>
    <w:rsid w:val="2CFF241A"/>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4A3E20"/>
    <w:rsid w:val="2F6D7B0F"/>
    <w:rsid w:val="2FBE480E"/>
    <w:rsid w:val="2FD962A4"/>
    <w:rsid w:val="30073ABF"/>
    <w:rsid w:val="30314FE0"/>
    <w:rsid w:val="305D7B83"/>
    <w:rsid w:val="30D20571"/>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0175"/>
    <w:rsid w:val="37623CD1"/>
    <w:rsid w:val="37667C65"/>
    <w:rsid w:val="377C4D93"/>
    <w:rsid w:val="377D6D5D"/>
    <w:rsid w:val="379C71E3"/>
    <w:rsid w:val="37AC319E"/>
    <w:rsid w:val="37CD1A92"/>
    <w:rsid w:val="380F5C07"/>
    <w:rsid w:val="3814321D"/>
    <w:rsid w:val="38327B47"/>
    <w:rsid w:val="384C6E5B"/>
    <w:rsid w:val="38657F1D"/>
    <w:rsid w:val="38961E84"/>
    <w:rsid w:val="38B247E4"/>
    <w:rsid w:val="38CD161E"/>
    <w:rsid w:val="391334D5"/>
    <w:rsid w:val="391D25A6"/>
    <w:rsid w:val="39382F3B"/>
    <w:rsid w:val="39785A2E"/>
    <w:rsid w:val="398B5761"/>
    <w:rsid w:val="39930ABA"/>
    <w:rsid w:val="39A131D7"/>
    <w:rsid w:val="39B051C8"/>
    <w:rsid w:val="39C40C73"/>
    <w:rsid w:val="39D569DC"/>
    <w:rsid w:val="39E210F9"/>
    <w:rsid w:val="39F5707E"/>
    <w:rsid w:val="3A125E82"/>
    <w:rsid w:val="3A255BB6"/>
    <w:rsid w:val="3A663AD8"/>
    <w:rsid w:val="3A6A181A"/>
    <w:rsid w:val="3AEA64B7"/>
    <w:rsid w:val="3B2D45F6"/>
    <w:rsid w:val="3B5129DA"/>
    <w:rsid w:val="3B514788"/>
    <w:rsid w:val="3B714E2B"/>
    <w:rsid w:val="3B781D15"/>
    <w:rsid w:val="3B9052B1"/>
    <w:rsid w:val="3C017F5D"/>
    <w:rsid w:val="3C522566"/>
    <w:rsid w:val="3CBF1EF8"/>
    <w:rsid w:val="3D0E5EAE"/>
    <w:rsid w:val="3D0F2205"/>
    <w:rsid w:val="3D26209C"/>
    <w:rsid w:val="3D3F3621"/>
    <w:rsid w:val="3D436353"/>
    <w:rsid w:val="3D69400B"/>
    <w:rsid w:val="3DBA03C3"/>
    <w:rsid w:val="3DD516A1"/>
    <w:rsid w:val="3DEE4511"/>
    <w:rsid w:val="3DF37D79"/>
    <w:rsid w:val="3E1877DF"/>
    <w:rsid w:val="3EE80F60"/>
    <w:rsid w:val="3EEF22EE"/>
    <w:rsid w:val="3F827606"/>
    <w:rsid w:val="3FCE0156"/>
    <w:rsid w:val="401F09B1"/>
    <w:rsid w:val="405A40DF"/>
    <w:rsid w:val="40685370"/>
    <w:rsid w:val="4081341A"/>
    <w:rsid w:val="40DE135D"/>
    <w:rsid w:val="41067A9A"/>
    <w:rsid w:val="410A1661"/>
    <w:rsid w:val="41110C42"/>
    <w:rsid w:val="4157036D"/>
    <w:rsid w:val="418D5DEE"/>
    <w:rsid w:val="41AE46E3"/>
    <w:rsid w:val="41B33AA7"/>
    <w:rsid w:val="41C23CEA"/>
    <w:rsid w:val="41D81760"/>
    <w:rsid w:val="42226223"/>
    <w:rsid w:val="426D00FA"/>
    <w:rsid w:val="428C42F8"/>
    <w:rsid w:val="42997141"/>
    <w:rsid w:val="42DE4B54"/>
    <w:rsid w:val="42E67EAC"/>
    <w:rsid w:val="42F97BDF"/>
    <w:rsid w:val="430420E0"/>
    <w:rsid w:val="43167462"/>
    <w:rsid w:val="432B58BF"/>
    <w:rsid w:val="43882D11"/>
    <w:rsid w:val="43B65AD0"/>
    <w:rsid w:val="43C04259"/>
    <w:rsid w:val="43F14BBE"/>
    <w:rsid w:val="43FD36FF"/>
    <w:rsid w:val="440E3217"/>
    <w:rsid w:val="44337121"/>
    <w:rsid w:val="44586B88"/>
    <w:rsid w:val="448B0D0B"/>
    <w:rsid w:val="44BF2763"/>
    <w:rsid w:val="45034D45"/>
    <w:rsid w:val="459736E0"/>
    <w:rsid w:val="45985EEB"/>
    <w:rsid w:val="45B147A1"/>
    <w:rsid w:val="45F14B9E"/>
    <w:rsid w:val="4690085B"/>
    <w:rsid w:val="469A48DC"/>
    <w:rsid w:val="46DF70EC"/>
    <w:rsid w:val="46FA5CD4"/>
    <w:rsid w:val="47042BC4"/>
    <w:rsid w:val="472F1E22"/>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396F88"/>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683B54"/>
    <w:rsid w:val="4BE156B5"/>
    <w:rsid w:val="4BF70A34"/>
    <w:rsid w:val="4C4243A5"/>
    <w:rsid w:val="4C7E4CB1"/>
    <w:rsid w:val="4CB701C3"/>
    <w:rsid w:val="4CC56D84"/>
    <w:rsid w:val="4CD82614"/>
    <w:rsid w:val="4CEC2563"/>
    <w:rsid w:val="4CF1523E"/>
    <w:rsid w:val="4D2B308B"/>
    <w:rsid w:val="4D5B4FF3"/>
    <w:rsid w:val="4D821820"/>
    <w:rsid w:val="4DA846DC"/>
    <w:rsid w:val="4DC1579E"/>
    <w:rsid w:val="4DDC6134"/>
    <w:rsid w:val="4E085255"/>
    <w:rsid w:val="4E105DDD"/>
    <w:rsid w:val="4E113D5D"/>
    <w:rsid w:val="4E834801"/>
    <w:rsid w:val="4EA948EE"/>
    <w:rsid w:val="4EB26E94"/>
    <w:rsid w:val="4F11005F"/>
    <w:rsid w:val="4F334479"/>
    <w:rsid w:val="4F701229"/>
    <w:rsid w:val="4F754A92"/>
    <w:rsid w:val="50294201"/>
    <w:rsid w:val="503264DF"/>
    <w:rsid w:val="503F29AA"/>
    <w:rsid w:val="505428F9"/>
    <w:rsid w:val="50760AC1"/>
    <w:rsid w:val="50C35389"/>
    <w:rsid w:val="50C86E43"/>
    <w:rsid w:val="50CD6207"/>
    <w:rsid w:val="50E023DF"/>
    <w:rsid w:val="510C4F82"/>
    <w:rsid w:val="514364CA"/>
    <w:rsid w:val="51764AF1"/>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9655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A507C4"/>
    <w:rsid w:val="5EDD61AF"/>
    <w:rsid w:val="5EF05EE3"/>
    <w:rsid w:val="5F3758C0"/>
    <w:rsid w:val="5F557AF4"/>
    <w:rsid w:val="5F6465CB"/>
    <w:rsid w:val="5F942D12"/>
    <w:rsid w:val="5FA97E40"/>
    <w:rsid w:val="60065292"/>
    <w:rsid w:val="603F2E02"/>
    <w:rsid w:val="60561D75"/>
    <w:rsid w:val="606C3347"/>
    <w:rsid w:val="607C7302"/>
    <w:rsid w:val="609D5BF6"/>
    <w:rsid w:val="60C211B9"/>
    <w:rsid w:val="60D84E80"/>
    <w:rsid w:val="60F82E2D"/>
    <w:rsid w:val="611C2FBF"/>
    <w:rsid w:val="613A3445"/>
    <w:rsid w:val="61616C24"/>
    <w:rsid w:val="618446C0"/>
    <w:rsid w:val="61B4001A"/>
    <w:rsid w:val="61D07906"/>
    <w:rsid w:val="62126170"/>
    <w:rsid w:val="626C2488"/>
    <w:rsid w:val="62AC2121"/>
    <w:rsid w:val="63091321"/>
    <w:rsid w:val="635A392B"/>
    <w:rsid w:val="6381535B"/>
    <w:rsid w:val="63870498"/>
    <w:rsid w:val="638B61DA"/>
    <w:rsid w:val="63A86D8C"/>
    <w:rsid w:val="63AC7EFE"/>
    <w:rsid w:val="643A375C"/>
    <w:rsid w:val="64487C27"/>
    <w:rsid w:val="64634A61"/>
    <w:rsid w:val="648C045C"/>
    <w:rsid w:val="648D7D30"/>
    <w:rsid w:val="651144BD"/>
    <w:rsid w:val="65510D5D"/>
    <w:rsid w:val="65640A91"/>
    <w:rsid w:val="656B62C3"/>
    <w:rsid w:val="65A949C0"/>
    <w:rsid w:val="65AA7DC8"/>
    <w:rsid w:val="65B17A4E"/>
    <w:rsid w:val="66140709"/>
    <w:rsid w:val="661C25E4"/>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386990"/>
    <w:rsid w:val="6AA03474"/>
    <w:rsid w:val="6ACA3A8C"/>
    <w:rsid w:val="6AF723A7"/>
    <w:rsid w:val="6B0D5727"/>
    <w:rsid w:val="6B9D2F4E"/>
    <w:rsid w:val="6BBB1626"/>
    <w:rsid w:val="6C0703C8"/>
    <w:rsid w:val="6C272818"/>
    <w:rsid w:val="6C276CBC"/>
    <w:rsid w:val="6C924135"/>
    <w:rsid w:val="6CB22A29"/>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6FF419B8"/>
    <w:rsid w:val="700D682A"/>
    <w:rsid w:val="704240C4"/>
    <w:rsid w:val="70932B72"/>
    <w:rsid w:val="711E06E8"/>
    <w:rsid w:val="713D741F"/>
    <w:rsid w:val="71D074AE"/>
    <w:rsid w:val="71EF5B86"/>
    <w:rsid w:val="72007D93"/>
    <w:rsid w:val="72031631"/>
    <w:rsid w:val="72514A93"/>
    <w:rsid w:val="727A5D97"/>
    <w:rsid w:val="727B38BE"/>
    <w:rsid w:val="729F75AC"/>
    <w:rsid w:val="72A66B8C"/>
    <w:rsid w:val="72AB015D"/>
    <w:rsid w:val="72F35B4A"/>
    <w:rsid w:val="72FA0C86"/>
    <w:rsid w:val="732F5A65"/>
    <w:rsid w:val="736B3932"/>
    <w:rsid w:val="73AA26AC"/>
    <w:rsid w:val="73AF381F"/>
    <w:rsid w:val="73F12089"/>
    <w:rsid w:val="740873D3"/>
    <w:rsid w:val="740F250F"/>
    <w:rsid w:val="7436113E"/>
    <w:rsid w:val="746960C4"/>
    <w:rsid w:val="74793E2D"/>
    <w:rsid w:val="74856C75"/>
    <w:rsid w:val="750C6D52"/>
    <w:rsid w:val="753B10E2"/>
    <w:rsid w:val="75436915"/>
    <w:rsid w:val="75524DAA"/>
    <w:rsid w:val="75882579"/>
    <w:rsid w:val="7589009F"/>
    <w:rsid w:val="759E1E23"/>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25086A"/>
    <w:rsid w:val="7B7535A0"/>
    <w:rsid w:val="7B937ECA"/>
    <w:rsid w:val="7BEE6EAE"/>
    <w:rsid w:val="7C66113B"/>
    <w:rsid w:val="7C8617DD"/>
    <w:rsid w:val="7C9F63FA"/>
    <w:rsid w:val="7CB71996"/>
    <w:rsid w:val="7CBB76D8"/>
    <w:rsid w:val="7CC0084B"/>
    <w:rsid w:val="7CDE5175"/>
    <w:rsid w:val="7D0746CC"/>
    <w:rsid w:val="7D20578D"/>
    <w:rsid w:val="7D2A660C"/>
    <w:rsid w:val="7D2D1C58"/>
    <w:rsid w:val="7D450D50"/>
    <w:rsid w:val="7D52346D"/>
    <w:rsid w:val="7DA97531"/>
    <w:rsid w:val="7DB83C18"/>
    <w:rsid w:val="7E002EC9"/>
    <w:rsid w:val="7E10135E"/>
    <w:rsid w:val="7E2968C4"/>
    <w:rsid w:val="7E3F612C"/>
    <w:rsid w:val="7E417769"/>
    <w:rsid w:val="7E723DC7"/>
    <w:rsid w:val="7E851D4C"/>
    <w:rsid w:val="7E8A7362"/>
    <w:rsid w:val="7EDE76AE"/>
    <w:rsid w:val="7EEF18BB"/>
    <w:rsid w:val="7EF26CB5"/>
    <w:rsid w:val="7F547970"/>
    <w:rsid w:val="7F5668AC"/>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2"/>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1308</Words>
  <Characters>1482</Characters>
  <Lines>12</Lines>
  <Paragraphs>3</Paragraphs>
  <TotalTime>1</TotalTime>
  <ScaleCrop>false</ScaleCrop>
  <LinksUpToDate>false</LinksUpToDate>
  <CharactersWithSpaces>1529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2025-04-02T05:22:41Z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DDB892196FAC41B1A00FA0269B5DD798_13</vt:lpwstr>
  </property>
  <property fmtid="{D5CDD505-2E9C-101B-9397-08002B2CF9AE}" pid="4" name="KSOTemplateDocerSaveRecord">
    <vt:lpwstr>eyJoZGlkIjoiZTBhOWVkYmUxNzIxNjA1NDFiYzg1MTM4MjRiZDYyMTciLCJ1c2VySWQiOiIxMDgwMjg1NDM4In0=</vt:lpwstr>
  </property>
</Properties>
</file>