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25783">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六安市裕安区学生书包</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6A47EFFD">
      <w:pPr>
        <w:spacing w:line="400" w:lineRule="exact"/>
        <w:rPr>
          <w:rFonts w:hint="eastAsia" w:ascii="宋体" w:hAnsi="宋体"/>
          <w:b/>
        </w:rPr>
      </w:pPr>
    </w:p>
    <w:p w14:paraId="4ACDDB02">
      <w:pPr>
        <w:spacing w:line="400" w:lineRule="exact"/>
        <w:rPr>
          <w:rFonts w:ascii="宋体" w:hAnsi="宋体"/>
          <w:b/>
        </w:rPr>
      </w:pPr>
      <w:r>
        <w:rPr>
          <w:rFonts w:hint="eastAsia" w:ascii="宋体" w:hAnsi="宋体"/>
          <w:b/>
        </w:rPr>
        <w:t>1  范围</w:t>
      </w:r>
    </w:p>
    <w:p w14:paraId="039459B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本细则适用于六安市裕安区市场监督管理局组织的学生书包产品质量监督抽查。</w:t>
      </w:r>
    </w:p>
    <w:p w14:paraId="22C4E54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cs="Times New Roman"/>
          <w:lang w:val="en-US" w:eastAsia="zh-CN"/>
        </w:rPr>
        <w:t>学生书包</w:t>
      </w:r>
      <w:r>
        <w:rPr>
          <w:rFonts w:hint="eastAsia" w:ascii="宋体" w:hAnsi="宋体" w:eastAsia="宋体" w:cs="宋体"/>
          <w:highlight w:val="none"/>
          <w:lang w:val="en-US" w:eastAsia="zh-CN"/>
        </w:rPr>
        <w:t>。</w:t>
      </w:r>
    </w:p>
    <w:p w14:paraId="5FAE8AF5">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2664A8A9">
      <w:pPr>
        <w:spacing w:line="400" w:lineRule="exact"/>
        <w:rPr>
          <w:rFonts w:ascii="宋体" w:hAnsi="宋体"/>
          <w:b/>
        </w:rPr>
      </w:pPr>
      <w:r>
        <w:rPr>
          <w:rFonts w:hint="eastAsia" w:ascii="宋体" w:hAnsi="宋体"/>
          <w:b/>
        </w:rPr>
        <w:t>2  抽样</w:t>
      </w:r>
    </w:p>
    <w:p w14:paraId="6833A493">
      <w:pPr>
        <w:spacing w:line="400" w:lineRule="exact"/>
        <w:rPr>
          <w:rFonts w:ascii="宋体" w:hAnsi="宋体"/>
          <w:b/>
        </w:rPr>
      </w:pPr>
      <w:r>
        <w:rPr>
          <w:rFonts w:hint="eastAsia" w:ascii="宋体" w:hAnsi="宋体"/>
          <w:b/>
        </w:rPr>
        <w:t>2.1  抽样型号或规格</w:t>
      </w:r>
    </w:p>
    <w:p w14:paraId="5C9C0725">
      <w:pPr>
        <w:spacing w:line="400" w:lineRule="exact"/>
        <w:ind w:firstLine="420" w:firstLineChars="200"/>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453741CC">
      <w:pPr>
        <w:spacing w:line="400" w:lineRule="exact"/>
        <w:rPr>
          <w:rFonts w:ascii="宋体" w:hAnsi="宋体"/>
          <w:b/>
        </w:rPr>
      </w:pPr>
      <w:r>
        <w:rPr>
          <w:rFonts w:hint="eastAsia" w:ascii="宋体" w:hAnsi="宋体"/>
          <w:b/>
        </w:rPr>
        <w:t>2.2  抽样方法、抽样数量</w:t>
      </w:r>
    </w:p>
    <w:p w14:paraId="3F71A992">
      <w:pPr>
        <w:spacing w:line="400" w:lineRule="exact"/>
        <w:rPr>
          <w:rFonts w:ascii="宋体" w:hAnsi="宋体"/>
          <w:b/>
        </w:rPr>
      </w:pPr>
      <w:r>
        <w:rPr>
          <w:rFonts w:hint="eastAsia" w:ascii="宋体" w:hAnsi="宋体"/>
          <w:b/>
        </w:rPr>
        <w:t>2.2.1  生产企业和市场实体店</w:t>
      </w:r>
    </w:p>
    <w:p w14:paraId="18601120">
      <w:pPr>
        <w:adjustRightInd w:val="0"/>
        <w:snapToGrid w:val="0"/>
        <w:spacing w:line="440" w:lineRule="exact"/>
        <w:ind w:firstLine="420" w:firstLineChars="200"/>
        <w:rPr>
          <w:color w:val="000000"/>
        </w:rPr>
      </w:pPr>
      <w:r>
        <w:rPr>
          <w:rFonts w:hint="eastAsia"/>
          <w:color w:val="000000"/>
        </w:rPr>
        <w:t>以随机抽样的方式在被抽样生产者、销售者的待销产品中抽取。</w:t>
      </w:r>
    </w:p>
    <w:p w14:paraId="068B24A7">
      <w:pPr>
        <w:adjustRightInd w:val="0"/>
        <w:snapToGrid w:val="0"/>
        <w:spacing w:line="440" w:lineRule="exact"/>
        <w:ind w:firstLine="420" w:firstLineChars="200"/>
        <w:rPr>
          <w:color w:val="000000"/>
        </w:rPr>
      </w:pPr>
      <w:r>
        <w:rPr>
          <w:rFonts w:hint="eastAsia"/>
          <w:color w:val="000000"/>
        </w:rPr>
        <w:t>随机数一般可使用随机数表等方法产生。</w:t>
      </w:r>
    </w:p>
    <w:p w14:paraId="55AC975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3个</w:t>
      </w:r>
      <w:r>
        <w:rPr>
          <w:rFonts w:hint="eastAsia" w:ascii="宋体" w:hAnsi="宋体" w:eastAsia="宋体" w:cs="宋体"/>
          <w:lang w:val="en-US" w:eastAsia="zh-CN"/>
        </w:rPr>
        <w:t>，其中</w:t>
      </w:r>
      <w:r>
        <w:rPr>
          <w:rFonts w:hint="eastAsia" w:ascii="宋体" w:hAnsi="宋体" w:cs="宋体"/>
          <w:lang w:val="en-US" w:eastAsia="zh-CN"/>
        </w:rPr>
        <w:t>2个</w:t>
      </w:r>
      <w:r>
        <w:rPr>
          <w:rFonts w:hint="eastAsia" w:ascii="宋体" w:hAnsi="宋体" w:eastAsia="宋体" w:cs="宋体"/>
          <w:lang w:val="en-US" w:eastAsia="zh-CN"/>
        </w:rPr>
        <w:t>作为检验样品，</w:t>
      </w:r>
      <w:r>
        <w:rPr>
          <w:rFonts w:hint="eastAsia" w:ascii="宋体" w:hAnsi="宋体" w:cs="宋体"/>
          <w:lang w:val="en-US" w:eastAsia="zh-CN"/>
        </w:rPr>
        <w:t>1个</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auto"/>
          <w:highlight w:val="none"/>
          <w:lang w:val="en-US" w:eastAsia="zh-CN"/>
        </w:rPr>
        <w:t>。</w:t>
      </w:r>
    </w:p>
    <w:p w14:paraId="2020C7A3">
      <w:pPr>
        <w:spacing w:line="400" w:lineRule="exact"/>
        <w:rPr>
          <w:rFonts w:ascii="宋体" w:hAnsi="宋体"/>
          <w:b/>
          <w:highlight w:val="none"/>
        </w:rPr>
      </w:pPr>
      <w:r>
        <w:rPr>
          <w:rFonts w:hint="eastAsia" w:ascii="宋体" w:hAnsi="宋体"/>
          <w:b/>
          <w:highlight w:val="none"/>
        </w:rPr>
        <w:t>2.2.2  电子商务领域</w:t>
      </w:r>
    </w:p>
    <w:p w14:paraId="49441879">
      <w:pPr>
        <w:adjustRightInd w:val="0"/>
        <w:snapToGrid w:val="0"/>
        <w:spacing w:line="440" w:lineRule="exact"/>
        <w:ind w:firstLine="420" w:firstLineChars="200"/>
        <w:rPr>
          <w:color w:val="000000"/>
        </w:rPr>
      </w:pPr>
      <w:r>
        <w:rPr>
          <w:rFonts w:hint="eastAsia"/>
          <w:color w:val="000000"/>
        </w:rPr>
        <w:t>抽样时应当随机选择销量较高的商品进行购买。</w:t>
      </w:r>
    </w:p>
    <w:p w14:paraId="0B6138C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3个</w:t>
      </w:r>
      <w:r>
        <w:rPr>
          <w:rFonts w:hint="eastAsia" w:ascii="宋体" w:hAnsi="宋体" w:eastAsia="宋体" w:cs="宋体"/>
          <w:lang w:val="en-US" w:eastAsia="zh-CN"/>
        </w:rPr>
        <w:t>，其中</w:t>
      </w:r>
      <w:r>
        <w:rPr>
          <w:rFonts w:hint="eastAsia" w:ascii="宋体" w:hAnsi="宋体" w:cs="宋体"/>
          <w:lang w:val="en-US" w:eastAsia="zh-CN"/>
        </w:rPr>
        <w:t>2个</w:t>
      </w:r>
      <w:r>
        <w:rPr>
          <w:rFonts w:hint="eastAsia" w:ascii="宋体" w:hAnsi="宋体" w:eastAsia="宋体" w:cs="宋体"/>
          <w:lang w:val="en-US" w:eastAsia="zh-CN"/>
        </w:rPr>
        <w:t>作为检验样品，</w:t>
      </w:r>
      <w:r>
        <w:rPr>
          <w:rFonts w:hint="eastAsia" w:ascii="宋体" w:hAnsi="宋体" w:cs="宋体"/>
          <w:lang w:val="en-US" w:eastAsia="zh-CN"/>
        </w:rPr>
        <w:t>1个</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000000"/>
          <w:lang w:val="en-US" w:eastAsia="zh-CN"/>
        </w:rPr>
        <w:t>。</w:t>
      </w:r>
    </w:p>
    <w:p w14:paraId="7EF1EFA4">
      <w:pPr>
        <w:spacing w:line="400" w:lineRule="exact"/>
        <w:rPr>
          <w:rFonts w:ascii="宋体" w:hAnsi="宋体"/>
          <w:b/>
        </w:rPr>
      </w:pPr>
      <w:r>
        <w:rPr>
          <w:rFonts w:hint="eastAsia" w:ascii="宋体" w:hAnsi="宋体"/>
          <w:b/>
        </w:rPr>
        <w:t>2.3  样品处置</w:t>
      </w:r>
    </w:p>
    <w:p w14:paraId="0CA513FD">
      <w:pPr>
        <w:spacing w:line="400" w:lineRule="exact"/>
        <w:rPr>
          <w:rFonts w:ascii="宋体" w:hAnsi="宋体"/>
          <w:b/>
        </w:rPr>
      </w:pPr>
      <w:r>
        <w:rPr>
          <w:rFonts w:hint="eastAsia" w:ascii="宋体" w:hAnsi="宋体"/>
          <w:b/>
        </w:rPr>
        <w:t>2.3.1  生产企业和市场实体店</w:t>
      </w:r>
    </w:p>
    <w:p w14:paraId="756494F8">
      <w:pPr>
        <w:spacing w:line="400" w:lineRule="exact"/>
        <w:ind w:firstLine="420" w:firstLineChars="200"/>
        <w:rPr>
          <w:rFonts w:ascii="宋体" w:hAnsi="宋体"/>
        </w:rPr>
      </w:pPr>
      <w:bookmarkStart w:id="0" w:name="OLE_LINK3"/>
      <w:bookmarkStart w:id="1" w:name="OLE_LINK2"/>
      <w:bookmarkStart w:id="2" w:name="OLE_LINK1"/>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7BF82032">
      <w:pPr>
        <w:spacing w:line="400" w:lineRule="exact"/>
        <w:ind w:firstLine="420" w:firstLineChars="200"/>
        <w:rPr>
          <w:rFonts w:ascii="宋体" w:hAnsi="宋体"/>
        </w:rPr>
      </w:pPr>
      <w:r>
        <w:t>需要从企业获取检验所需的产品信息时，应在抽样现场获取，并经企业确认。</w:t>
      </w:r>
    </w:p>
    <w:bookmarkEnd w:id="0"/>
    <w:bookmarkEnd w:id="1"/>
    <w:bookmarkEnd w:id="2"/>
    <w:p w14:paraId="03E8516C">
      <w:pPr>
        <w:spacing w:line="400" w:lineRule="exact"/>
        <w:rPr>
          <w:rFonts w:ascii="宋体" w:hAnsi="宋体"/>
          <w:b/>
          <w:highlight w:val="none"/>
        </w:rPr>
      </w:pPr>
      <w:r>
        <w:rPr>
          <w:rFonts w:hint="eastAsia" w:ascii="宋体" w:hAnsi="宋体"/>
          <w:b/>
          <w:highlight w:val="none"/>
        </w:rPr>
        <w:t>2.3.2  电子商务领域</w:t>
      </w:r>
    </w:p>
    <w:p w14:paraId="5B27F9E4">
      <w:pPr>
        <w:spacing w:line="400" w:lineRule="exact"/>
        <w:ind w:firstLine="420" w:firstLineChars="200"/>
        <w:rPr>
          <w:rFonts w:ascii="宋体" w:hAnsi="宋体"/>
        </w:rPr>
      </w:pPr>
      <w:r>
        <w:rPr>
          <w:rFonts w:ascii="宋体" w:hAnsi="宋体"/>
        </w:rPr>
        <w:t>样品签收后，应对样品进行拆样、取证、封样、信息记录等操作。</w:t>
      </w:r>
    </w:p>
    <w:p w14:paraId="4AACA1CB">
      <w:pPr>
        <w:spacing w:line="400" w:lineRule="exact"/>
        <w:ind w:firstLine="420" w:firstLineChars="200"/>
        <w:rPr>
          <w:rFonts w:ascii="宋体" w:hAnsi="宋体"/>
        </w:rPr>
      </w:pPr>
      <w:r>
        <w:rPr>
          <w:rFonts w:hint="eastAsia" w:ascii="宋体" w:hAnsi="宋体"/>
        </w:rPr>
        <w:t>应采取有效的防拆封措施，对检验样品和备用样品分别封样</w:t>
      </w:r>
      <w:r>
        <w:rPr>
          <w:rFonts w:ascii="宋体" w:hAnsi="宋体"/>
        </w:rPr>
        <w:t>。</w:t>
      </w:r>
    </w:p>
    <w:p w14:paraId="5B47103E">
      <w:pPr>
        <w:spacing w:line="400" w:lineRule="exact"/>
        <w:ind w:firstLine="420" w:firstLineChars="200"/>
        <w:rPr>
          <w:rFonts w:ascii="宋体" w:hAnsi="宋体"/>
        </w:rPr>
      </w:pPr>
      <w:r>
        <w:rPr>
          <w:rFonts w:ascii="宋体" w:hAnsi="宋体"/>
        </w:rPr>
        <w:t>抽样人员应在封样单上签名，注明封样日期、抽样单编号。</w:t>
      </w:r>
    </w:p>
    <w:p w14:paraId="0C2816EB">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5D66A4FA">
      <w:pPr>
        <w:spacing w:line="400" w:lineRule="exact"/>
        <w:rPr>
          <w:rFonts w:hint="eastAsia" w:ascii="宋体" w:hAnsi="宋体"/>
          <w:b/>
        </w:rPr>
      </w:pPr>
      <w:r>
        <w:rPr>
          <w:rFonts w:hint="eastAsia" w:ascii="宋体" w:hAnsi="宋体"/>
          <w:b/>
        </w:rPr>
        <w:t>3  检验依据</w:t>
      </w:r>
    </w:p>
    <w:p w14:paraId="626765D3">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 xml:space="preserve">表1 </w:t>
      </w:r>
      <w:r>
        <w:rPr>
          <w:rFonts w:hint="eastAsia" w:asciiTheme="minorEastAsia" w:hAnsiTheme="minorEastAsia" w:eastAsiaTheme="minorEastAsia" w:cstheme="minorEastAsia"/>
          <w:sz w:val="21"/>
          <w:szCs w:val="21"/>
          <w:lang w:val="en-US" w:eastAsia="zh-CN"/>
        </w:rPr>
        <w:t>学生书袋</w:t>
      </w:r>
      <w:r>
        <w:rPr>
          <w:rFonts w:hint="eastAsia" w:asciiTheme="minorEastAsia" w:hAnsiTheme="minorEastAsia" w:eastAsiaTheme="minorEastAsia" w:cstheme="minorEastAsia"/>
          <w:color w:val="auto"/>
          <w:sz w:val="21"/>
          <w:szCs w:val="21"/>
          <w:lang w:val="en-US" w:eastAsia="zh-CN"/>
        </w:rPr>
        <w:t>检验项目</w:t>
      </w:r>
      <w:r>
        <w:rPr>
          <w:rFonts w:hint="eastAsia" w:asciiTheme="minorEastAsia" w:hAnsiTheme="minorEastAsia" w:eastAsiaTheme="minorEastAsia" w:cstheme="minorEastAsia"/>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3927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6076F6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序号</w:t>
            </w:r>
          </w:p>
        </w:tc>
        <w:tc>
          <w:tcPr>
            <w:tcW w:w="4239" w:type="dxa"/>
            <w:noWrap w:val="0"/>
            <w:vAlign w:val="center"/>
          </w:tcPr>
          <w:p w14:paraId="2BE74CA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检验项目</w:t>
            </w:r>
          </w:p>
        </w:tc>
        <w:tc>
          <w:tcPr>
            <w:tcW w:w="4220" w:type="dxa"/>
            <w:noWrap w:val="0"/>
            <w:vAlign w:val="center"/>
          </w:tcPr>
          <w:p w14:paraId="417583A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检验方法</w:t>
            </w:r>
          </w:p>
        </w:tc>
      </w:tr>
      <w:tr w14:paraId="3676D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365A7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w:t>
            </w:r>
          </w:p>
        </w:tc>
        <w:tc>
          <w:tcPr>
            <w:tcW w:w="4239" w:type="dxa"/>
            <w:noWrap w:val="0"/>
            <w:vAlign w:val="center"/>
          </w:tcPr>
          <w:p w14:paraId="1E5E12EC">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配件及安装</w:t>
            </w:r>
          </w:p>
        </w:tc>
        <w:tc>
          <w:tcPr>
            <w:tcW w:w="4220" w:type="dxa"/>
            <w:noWrap w:val="0"/>
            <w:vAlign w:val="center"/>
          </w:tcPr>
          <w:p w14:paraId="6B7F6CC6">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QB/T 2858-2007</w:t>
            </w:r>
          </w:p>
        </w:tc>
      </w:tr>
      <w:tr w14:paraId="75847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C0456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w:t>
            </w:r>
          </w:p>
        </w:tc>
        <w:tc>
          <w:tcPr>
            <w:tcW w:w="4239" w:type="dxa"/>
            <w:noWrap w:val="0"/>
            <w:vAlign w:val="center"/>
          </w:tcPr>
          <w:p w14:paraId="6CD428B9">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缝合线</w:t>
            </w:r>
          </w:p>
        </w:tc>
        <w:tc>
          <w:tcPr>
            <w:tcW w:w="4220" w:type="dxa"/>
            <w:noWrap w:val="0"/>
            <w:vAlign w:val="center"/>
          </w:tcPr>
          <w:p w14:paraId="3F84F341">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QB/T 2858-2007</w:t>
            </w:r>
          </w:p>
        </w:tc>
      </w:tr>
      <w:tr w14:paraId="7320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DA6C8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3</w:t>
            </w:r>
          </w:p>
        </w:tc>
        <w:tc>
          <w:tcPr>
            <w:tcW w:w="4239" w:type="dxa"/>
            <w:noWrap w:val="0"/>
            <w:vAlign w:val="center"/>
          </w:tcPr>
          <w:p w14:paraId="44D46906">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织物面料</w:t>
            </w:r>
          </w:p>
        </w:tc>
        <w:tc>
          <w:tcPr>
            <w:tcW w:w="4220" w:type="dxa"/>
            <w:noWrap w:val="0"/>
            <w:vAlign w:val="center"/>
          </w:tcPr>
          <w:p w14:paraId="61919542">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QB/T 2858-2007</w:t>
            </w:r>
          </w:p>
        </w:tc>
      </w:tr>
      <w:tr w14:paraId="7CBBC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28419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w:t>
            </w:r>
          </w:p>
        </w:tc>
        <w:tc>
          <w:tcPr>
            <w:tcW w:w="4239" w:type="dxa"/>
            <w:noWrap w:val="0"/>
            <w:vAlign w:val="center"/>
          </w:tcPr>
          <w:p w14:paraId="0B064860">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缝合线迹</w:t>
            </w:r>
          </w:p>
        </w:tc>
        <w:tc>
          <w:tcPr>
            <w:tcW w:w="4220" w:type="dxa"/>
            <w:noWrap w:val="0"/>
            <w:vAlign w:val="center"/>
          </w:tcPr>
          <w:p w14:paraId="5B000EAA">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QB/T 2858-2007</w:t>
            </w:r>
          </w:p>
        </w:tc>
      </w:tr>
      <w:tr w14:paraId="4B984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013D6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w:t>
            </w:r>
          </w:p>
        </w:tc>
        <w:tc>
          <w:tcPr>
            <w:tcW w:w="4239" w:type="dxa"/>
            <w:noWrap w:val="0"/>
            <w:vAlign w:val="center"/>
          </w:tcPr>
          <w:p w14:paraId="4149CF17">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负重</w:t>
            </w:r>
          </w:p>
        </w:tc>
        <w:tc>
          <w:tcPr>
            <w:tcW w:w="4220" w:type="dxa"/>
            <w:noWrap w:val="0"/>
            <w:vAlign w:val="center"/>
          </w:tcPr>
          <w:p w14:paraId="5A4A0E83">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QB/T 2858-2007</w:t>
            </w:r>
          </w:p>
        </w:tc>
      </w:tr>
      <w:tr w14:paraId="2E3EA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805603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6</w:t>
            </w:r>
          </w:p>
        </w:tc>
        <w:tc>
          <w:tcPr>
            <w:tcW w:w="4239" w:type="dxa"/>
            <w:noWrap w:val="0"/>
            <w:vAlign w:val="center"/>
          </w:tcPr>
          <w:p w14:paraId="63AB7C4C">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缝合强度</w:t>
            </w:r>
          </w:p>
        </w:tc>
        <w:tc>
          <w:tcPr>
            <w:tcW w:w="4220" w:type="dxa"/>
            <w:noWrap w:val="0"/>
            <w:vAlign w:val="center"/>
          </w:tcPr>
          <w:p w14:paraId="14E3DED4">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QB/T 2858-2007</w:t>
            </w:r>
          </w:p>
        </w:tc>
      </w:tr>
      <w:tr w14:paraId="62D26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C29DE7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7</w:t>
            </w:r>
          </w:p>
        </w:tc>
        <w:tc>
          <w:tcPr>
            <w:tcW w:w="4239" w:type="dxa"/>
            <w:noWrap w:val="0"/>
            <w:vAlign w:val="center"/>
          </w:tcPr>
          <w:p w14:paraId="5FCDFC1A">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拉链耐用度</w:t>
            </w:r>
          </w:p>
        </w:tc>
        <w:tc>
          <w:tcPr>
            <w:tcW w:w="4220" w:type="dxa"/>
            <w:noWrap w:val="0"/>
            <w:vAlign w:val="center"/>
          </w:tcPr>
          <w:p w14:paraId="1D2E991B">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QB/T 2858-2007</w:t>
            </w:r>
          </w:p>
        </w:tc>
      </w:tr>
    </w:tbl>
    <w:p w14:paraId="6017991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p>
    <w:p w14:paraId="51D0E394">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 xml:space="preserve">表2 </w:t>
      </w: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学生书包（背提包）</w:t>
      </w:r>
      <w:r>
        <w:rPr>
          <w:rFonts w:hint="eastAsia" w:asciiTheme="minorEastAsia" w:hAnsiTheme="minorEastAsia" w:eastAsiaTheme="minorEastAsia" w:cstheme="minorEastAsia"/>
          <w:color w:val="auto"/>
          <w:sz w:val="21"/>
          <w:szCs w:val="21"/>
          <w:lang w:val="en-US" w:eastAsia="zh-CN"/>
        </w:rPr>
        <w:t>检验项目</w:t>
      </w:r>
      <w:r>
        <w:rPr>
          <w:rFonts w:hint="eastAsia" w:asciiTheme="minorEastAsia" w:hAnsiTheme="minorEastAsia" w:eastAsiaTheme="minorEastAsia" w:cstheme="minorEastAsia"/>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2E567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5637D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序号</w:t>
            </w:r>
          </w:p>
        </w:tc>
        <w:tc>
          <w:tcPr>
            <w:tcW w:w="4239" w:type="dxa"/>
            <w:noWrap w:val="0"/>
            <w:vAlign w:val="center"/>
          </w:tcPr>
          <w:p w14:paraId="746524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检验项目</w:t>
            </w:r>
          </w:p>
        </w:tc>
        <w:tc>
          <w:tcPr>
            <w:tcW w:w="4220" w:type="dxa"/>
            <w:noWrap w:val="0"/>
            <w:vAlign w:val="center"/>
          </w:tcPr>
          <w:p w14:paraId="07F7425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检验方法</w:t>
            </w:r>
          </w:p>
        </w:tc>
      </w:tr>
      <w:tr w14:paraId="005C0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9B9A4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w:t>
            </w:r>
          </w:p>
        </w:tc>
        <w:tc>
          <w:tcPr>
            <w:tcW w:w="4239" w:type="dxa"/>
            <w:noWrap w:val="0"/>
            <w:vAlign w:val="center"/>
          </w:tcPr>
          <w:p w14:paraId="2D681EA5">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外观质量</w:t>
            </w:r>
          </w:p>
        </w:tc>
        <w:tc>
          <w:tcPr>
            <w:tcW w:w="4220" w:type="dxa"/>
            <w:noWrap w:val="0"/>
            <w:vAlign w:val="center"/>
          </w:tcPr>
          <w:p w14:paraId="22850C4E">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QB/T 1333-2018</w:t>
            </w:r>
          </w:p>
        </w:tc>
      </w:tr>
      <w:tr w14:paraId="18D3B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AF59F4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w:t>
            </w:r>
          </w:p>
        </w:tc>
        <w:tc>
          <w:tcPr>
            <w:tcW w:w="4239" w:type="dxa"/>
            <w:noWrap w:val="0"/>
            <w:vAlign w:val="center"/>
          </w:tcPr>
          <w:p w14:paraId="19E35413">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振荡冲击性能</w:t>
            </w:r>
          </w:p>
        </w:tc>
        <w:tc>
          <w:tcPr>
            <w:tcW w:w="4220" w:type="dxa"/>
            <w:noWrap w:val="0"/>
            <w:vAlign w:val="center"/>
          </w:tcPr>
          <w:p w14:paraId="6EEEBEFB">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QB/T 2922-2018</w:t>
            </w:r>
          </w:p>
        </w:tc>
      </w:tr>
      <w:tr w14:paraId="00750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0675F0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3</w:t>
            </w:r>
          </w:p>
        </w:tc>
        <w:tc>
          <w:tcPr>
            <w:tcW w:w="4239" w:type="dxa"/>
            <w:noWrap w:val="0"/>
            <w:vAlign w:val="center"/>
          </w:tcPr>
          <w:p w14:paraId="4F25E885">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拉链耐用度</w:t>
            </w:r>
          </w:p>
        </w:tc>
        <w:tc>
          <w:tcPr>
            <w:tcW w:w="4220" w:type="dxa"/>
            <w:noWrap w:val="0"/>
            <w:vAlign w:val="center"/>
          </w:tcPr>
          <w:p w14:paraId="1D058D99">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QB/T 1333-2018</w:t>
            </w:r>
          </w:p>
        </w:tc>
      </w:tr>
      <w:tr w14:paraId="7092A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3BDE14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w:t>
            </w:r>
          </w:p>
        </w:tc>
        <w:tc>
          <w:tcPr>
            <w:tcW w:w="4239" w:type="dxa"/>
            <w:noWrap w:val="0"/>
            <w:vAlign w:val="center"/>
          </w:tcPr>
          <w:p w14:paraId="69279473">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缝合强度</w:t>
            </w:r>
          </w:p>
        </w:tc>
        <w:tc>
          <w:tcPr>
            <w:tcW w:w="4220" w:type="dxa"/>
            <w:noWrap w:val="0"/>
            <w:vAlign w:val="center"/>
          </w:tcPr>
          <w:p w14:paraId="2C671DA3">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QB/T 1333-2018</w:t>
            </w:r>
          </w:p>
        </w:tc>
      </w:tr>
      <w:tr w14:paraId="6AF1C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BC5C74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w:t>
            </w:r>
          </w:p>
        </w:tc>
        <w:tc>
          <w:tcPr>
            <w:tcW w:w="4239" w:type="dxa"/>
            <w:noWrap w:val="0"/>
            <w:vAlign w:val="center"/>
          </w:tcPr>
          <w:p w14:paraId="0DEBB368">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塑料插扣件耐用性能</w:t>
            </w:r>
          </w:p>
        </w:tc>
        <w:tc>
          <w:tcPr>
            <w:tcW w:w="4220" w:type="dxa"/>
            <w:noWrap w:val="0"/>
            <w:vAlign w:val="center"/>
          </w:tcPr>
          <w:p w14:paraId="45AF2D78">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QB/T 5247-2018</w:t>
            </w:r>
          </w:p>
        </w:tc>
      </w:tr>
      <w:tr w14:paraId="46982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8581DE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6</w:t>
            </w:r>
          </w:p>
        </w:tc>
        <w:tc>
          <w:tcPr>
            <w:tcW w:w="4239" w:type="dxa"/>
            <w:noWrap w:val="0"/>
            <w:vAlign w:val="center"/>
          </w:tcPr>
          <w:p w14:paraId="38D58993">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摩擦色牢度</w:t>
            </w:r>
            <w:bookmarkStart w:id="3" w:name="_GoBack"/>
            <w:bookmarkEnd w:id="3"/>
          </w:p>
        </w:tc>
        <w:tc>
          <w:tcPr>
            <w:tcW w:w="4220" w:type="dxa"/>
            <w:noWrap w:val="0"/>
            <w:vAlign w:val="center"/>
          </w:tcPr>
          <w:p w14:paraId="73C3C54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QB/T 2537-2001</w:t>
            </w:r>
          </w:p>
          <w:p w14:paraId="2311C66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GB/T 3920-2008</w:t>
            </w:r>
          </w:p>
          <w:p w14:paraId="6BD837D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QB/T 2790-2006</w:t>
            </w:r>
          </w:p>
        </w:tc>
      </w:tr>
    </w:tbl>
    <w:p w14:paraId="0DFBA3BF">
      <w:pPr>
        <w:spacing w:line="400" w:lineRule="exact"/>
        <w:ind w:firstLine="420" w:firstLineChars="200"/>
        <w:rPr>
          <w:rFonts w:ascii="宋体" w:hAnsi="宋体"/>
        </w:rPr>
      </w:pPr>
      <w:r>
        <w:rPr>
          <w:rFonts w:hint="eastAsia" w:ascii="宋体" w:hAnsi="宋体"/>
          <w:color w:val="auto"/>
        </w:rPr>
        <w:t>执行企业标准、团体标准、地方标准的产品，检验项目参照上述内容执行。</w:t>
      </w:r>
    </w:p>
    <w:p w14:paraId="4D6CC710">
      <w:pPr>
        <w:spacing w:line="400" w:lineRule="exact"/>
        <w:ind w:firstLine="420" w:firstLineChars="200"/>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4FEE331C">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7561F624">
      <w:pPr>
        <w:spacing w:line="400" w:lineRule="exact"/>
        <w:rPr>
          <w:rFonts w:ascii="宋体" w:hAnsi="宋体"/>
          <w:b/>
        </w:rPr>
      </w:pPr>
      <w:r>
        <w:rPr>
          <w:rFonts w:hint="eastAsia" w:ascii="宋体" w:hAnsi="宋体"/>
          <w:b/>
        </w:rPr>
        <w:t>4  判定规则</w:t>
      </w:r>
    </w:p>
    <w:p w14:paraId="7AF37D58">
      <w:pPr>
        <w:spacing w:line="400" w:lineRule="exact"/>
        <w:rPr>
          <w:rFonts w:ascii="宋体" w:hAnsi="宋体"/>
          <w:b/>
        </w:rPr>
      </w:pPr>
      <w:r>
        <w:rPr>
          <w:rFonts w:hint="eastAsia" w:ascii="宋体" w:hAnsi="宋体"/>
          <w:b/>
        </w:rPr>
        <w:t>4.1  依据标准</w:t>
      </w:r>
    </w:p>
    <w:p w14:paraId="739B5257">
      <w:pPr>
        <w:adjustRightInd w:val="0"/>
        <w:snapToGrid w:val="0"/>
        <w:spacing w:line="440" w:lineRule="exact"/>
        <w:ind w:firstLine="420" w:firstLineChars="200"/>
        <w:rPr>
          <w:rFonts w:hint="eastAsia" w:asciiTheme="minorEastAsia" w:hAnsiTheme="minorEastAsia" w:eastAsiaTheme="minorEastAsia" w:cstheme="minorEastAsia"/>
          <w:color w:val="000000"/>
          <w:lang w:val="en-US" w:eastAsia="zh-CN"/>
        </w:rPr>
      </w:pPr>
      <w:r>
        <w:rPr>
          <w:rFonts w:hint="eastAsia" w:asciiTheme="minorEastAsia" w:hAnsiTheme="minorEastAsia" w:eastAsiaTheme="minorEastAsia" w:cstheme="minorEastAsia"/>
          <w:color w:val="000000"/>
          <w:lang w:val="en-US" w:eastAsia="zh-CN"/>
        </w:rPr>
        <w:t>QB/T 2858-2007 学生书袋</w:t>
      </w:r>
    </w:p>
    <w:p w14:paraId="784A22E3">
      <w:pPr>
        <w:adjustRightInd w:val="0"/>
        <w:snapToGrid w:val="0"/>
        <w:spacing w:line="440" w:lineRule="exact"/>
        <w:ind w:firstLine="420" w:firstLineChars="200"/>
        <w:rPr>
          <w:rFonts w:hint="eastAsia" w:asciiTheme="minorEastAsia" w:hAnsiTheme="minorEastAsia" w:eastAsiaTheme="minorEastAsia" w:cstheme="minorEastAsia"/>
          <w:color w:val="000000"/>
          <w:lang w:eastAsia="zh-CN"/>
        </w:rPr>
      </w:pPr>
      <w:r>
        <w:rPr>
          <w:rFonts w:hint="eastAsia" w:asciiTheme="minorEastAsia" w:hAnsiTheme="minorEastAsia" w:eastAsiaTheme="minorEastAsia" w:cstheme="minorEastAsia"/>
          <w:color w:val="000000"/>
          <w:lang w:val="en-US" w:eastAsia="zh-CN"/>
        </w:rPr>
        <w:t>QB/T 1333-2018 背提包</w:t>
      </w:r>
    </w:p>
    <w:p w14:paraId="0A8AA69B">
      <w:pPr>
        <w:adjustRightInd w:val="0"/>
        <w:snapToGrid w:val="0"/>
        <w:spacing w:line="440" w:lineRule="exact"/>
        <w:ind w:firstLine="420" w:firstLineChars="200"/>
        <w:rPr>
          <w:color w:val="000000"/>
        </w:rPr>
      </w:pPr>
      <w:r>
        <w:rPr>
          <w:rFonts w:hint="eastAsia" w:eastAsia="宋体"/>
          <w:color w:val="000000"/>
        </w:rPr>
        <w:t>现行有效的企业标准、团体标</w:t>
      </w:r>
      <w:r>
        <w:rPr>
          <w:rFonts w:hint="eastAsia"/>
          <w:color w:val="000000"/>
        </w:rPr>
        <w:t>准、地方标准及产品明示质量要求</w:t>
      </w:r>
    </w:p>
    <w:p w14:paraId="15906178">
      <w:pPr>
        <w:spacing w:line="400" w:lineRule="exact"/>
        <w:rPr>
          <w:rFonts w:ascii="宋体" w:hAnsi="宋体"/>
          <w:b/>
        </w:rPr>
      </w:pPr>
      <w:r>
        <w:rPr>
          <w:rFonts w:hint="eastAsia" w:ascii="宋体" w:hAnsi="宋体"/>
          <w:b/>
        </w:rPr>
        <w:t>4.2  判定原则</w:t>
      </w:r>
    </w:p>
    <w:p w14:paraId="4050332B">
      <w:pPr>
        <w:adjustRightInd w:val="0"/>
        <w:snapToGrid w:val="0"/>
        <w:spacing w:line="440" w:lineRule="exact"/>
        <w:ind w:firstLine="420" w:firstLineChars="200"/>
        <w:rPr>
          <w:color w:val="000000"/>
        </w:rPr>
      </w:pPr>
      <w:r>
        <w:rPr>
          <w:rFonts w:hint="eastAsia"/>
          <w:color w:val="000000"/>
        </w:rPr>
        <w:t>经检验，检验项目全部合格，判定为被抽查产品所检项目未发现不合格；检验项目中任一项或一项以上不合格，判定为被抽查产品不合格。</w:t>
      </w:r>
    </w:p>
    <w:p w14:paraId="4F04BBA9">
      <w:pPr>
        <w:adjustRightInd w:val="0"/>
        <w:snapToGrid w:val="0"/>
        <w:spacing w:line="440" w:lineRule="exact"/>
        <w:ind w:firstLine="420" w:firstLineChars="200"/>
        <w:rPr>
          <w:color w:val="000000"/>
        </w:rPr>
      </w:pPr>
      <w:r>
        <w:rPr>
          <w:rFonts w:hint="eastAsia"/>
          <w:color w:val="000000"/>
        </w:rPr>
        <w:t>若被检产品明示的质量要求高于本细则中检验项目依据的标准要求时，应按被检产品明示的质量要求判定。</w:t>
      </w:r>
    </w:p>
    <w:p w14:paraId="6A0E1C49">
      <w:pPr>
        <w:adjustRightInd w:val="0"/>
        <w:snapToGrid w:val="0"/>
        <w:spacing w:line="440" w:lineRule="exact"/>
        <w:ind w:firstLine="420" w:firstLineChars="200"/>
        <w:rPr>
          <w:color w:val="000000"/>
        </w:rPr>
      </w:pPr>
      <w:r>
        <w:rPr>
          <w:rFonts w:hint="eastAsia"/>
          <w:color w:val="000000"/>
        </w:rPr>
        <w:t>若被检产品明示的质量要求低于本细则中检验项目依据的强制性标准要求时，应按照强制性标准要求判定。</w:t>
      </w:r>
    </w:p>
    <w:p w14:paraId="03325E6E">
      <w:pPr>
        <w:adjustRightInd w:val="0"/>
        <w:snapToGrid w:val="0"/>
        <w:spacing w:line="440" w:lineRule="exact"/>
        <w:ind w:firstLine="420" w:firstLineChars="200"/>
        <w:rPr>
          <w:color w:val="000000"/>
        </w:rPr>
      </w:pPr>
      <w:r>
        <w:rPr>
          <w:rFonts w:hint="eastAsia"/>
          <w:color w:val="000000"/>
        </w:rPr>
        <w:t>若被检产品明示的质量要求低于或包含本细则中检验项目依据的推荐性标准要求时，应以被检产品明示的质量要求判定。</w:t>
      </w:r>
    </w:p>
    <w:p w14:paraId="21F0DC3D">
      <w:pPr>
        <w:adjustRightInd w:val="0"/>
        <w:snapToGrid w:val="0"/>
        <w:spacing w:line="440" w:lineRule="exact"/>
        <w:ind w:firstLine="420" w:firstLineChars="200"/>
        <w:rPr>
          <w:color w:val="000000"/>
        </w:rPr>
      </w:pPr>
      <w:r>
        <w:rPr>
          <w:rFonts w:hint="eastAsia"/>
          <w:color w:val="000000"/>
        </w:rPr>
        <w:t>若被检产品明示的质量要求缺少本细则中检验项目依据的强制性标准要求时，应按照强制性标准要求判定。</w:t>
      </w:r>
    </w:p>
    <w:p w14:paraId="7F9FE30B">
      <w:pPr>
        <w:adjustRightInd w:val="0"/>
        <w:snapToGrid w:val="0"/>
        <w:spacing w:line="440" w:lineRule="exact"/>
        <w:ind w:firstLine="420" w:firstLineChars="200"/>
        <w:rPr>
          <w:rFonts w:ascii="宋体" w:hAnsi="宋体"/>
          <w:b/>
        </w:rPr>
      </w:pPr>
      <w:r>
        <w:rPr>
          <w:rFonts w:hint="eastAsia"/>
          <w:color w:val="000000"/>
        </w:rPr>
        <w:t>若被检产品明示的质量要求缺少本细则中检验项目依据的推荐性标准要求时，该项目不参与判定。</w:t>
      </w:r>
    </w:p>
    <w:p w14:paraId="7C7890AF">
      <w:pPr>
        <w:spacing w:line="400" w:lineRule="exact"/>
        <w:rPr>
          <w:rFonts w:ascii="宋体" w:hAnsi="宋体"/>
          <w:b/>
        </w:rPr>
      </w:pPr>
      <w:r>
        <w:rPr>
          <w:rFonts w:hint="eastAsia" w:ascii="宋体" w:hAnsi="宋体"/>
          <w:b/>
        </w:rPr>
        <w:t>4.3  结论用语</w:t>
      </w:r>
    </w:p>
    <w:p w14:paraId="379E5DCF">
      <w:pPr>
        <w:spacing w:line="400" w:lineRule="exact"/>
        <w:ind w:firstLine="420" w:firstLineChars="200"/>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《202</w:t>
      </w:r>
      <w:r>
        <w:rPr>
          <w:rFonts w:hint="eastAsia" w:ascii="宋体" w:hAnsi="宋体"/>
          <w:lang w:val="en-US" w:eastAsia="zh-CN"/>
        </w:rPr>
        <w:t>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学生书包</w:t>
      </w:r>
      <w:r>
        <w:rPr>
          <w:rFonts w:hint="eastAsia" w:ascii="宋体" w:hAnsi="宋体"/>
          <w:color w:val="auto"/>
          <w:highlight w:val="none"/>
        </w:rPr>
        <w:t>产品</w:t>
      </w:r>
      <w:r>
        <w:rPr>
          <w:rFonts w:hint="eastAsia" w:ascii="宋体" w:hAnsi="宋体"/>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64AD0E5F">
      <w:pPr>
        <w:spacing w:line="400" w:lineRule="exact"/>
        <w:ind w:firstLine="420" w:firstLineChars="200"/>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学生书包</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7D9801B9">
      <w:pPr>
        <w:pStyle w:val="9"/>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p>
    <w:p w14:paraId="5DFE2A5F">
      <w:pPr>
        <w:spacing w:line="400" w:lineRule="exact"/>
        <w:rPr>
          <w:rFonts w:ascii="宋体" w:hAnsi="宋体"/>
          <w:b/>
        </w:rPr>
      </w:pPr>
      <w:r>
        <w:rPr>
          <w:rFonts w:hint="eastAsia" w:ascii="宋体" w:hAnsi="宋体"/>
          <w:b/>
        </w:rPr>
        <w:t>5  附则</w:t>
      </w:r>
    </w:p>
    <w:p w14:paraId="48A1EAEF">
      <w:pPr>
        <w:spacing w:line="400" w:lineRule="exact"/>
        <w:ind w:firstLine="420" w:firstLineChars="200"/>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D2AD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A8968">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C74429"/>
    <w:rsid w:val="01E23011"/>
    <w:rsid w:val="02021905"/>
    <w:rsid w:val="02056D00"/>
    <w:rsid w:val="02377574"/>
    <w:rsid w:val="025D6B3C"/>
    <w:rsid w:val="027D2D3A"/>
    <w:rsid w:val="02922C89"/>
    <w:rsid w:val="02BC1AB4"/>
    <w:rsid w:val="02C92423"/>
    <w:rsid w:val="02F56D74"/>
    <w:rsid w:val="02F72AEC"/>
    <w:rsid w:val="032F672A"/>
    <w:rsid w:val="034675D0"/>
    <w:rsid w:val="0361265C"/>
    <w:rsid w:val="0361440A"/>
    <w:rsid w:val="03A26EFC"/>
    <w:rsid w:val="03A56308"/>
    <w:rsid w:val="03B66504"/>
    <w:rsid w:val="03C70711"/>
    <w:rsid w:val="04212517"/>
    <w:rsid w:val="04425FE9"/>
    <w:rsid w:val="0486237A"/>
    <w:rsid w:val="04877EA0"/>
    <w:rsid w:val="0575419C"/>
    <w:rsid w:val="05880374"/>
    <w:rsid w:val="059704BA"/>
    <w:rsid w:val="05E41A4E"/>
    <w:rsid w:val="05FE4192"/>
    <w:rsid w:val="06163BD1"/>
    <w:rsid w:val="061A5470"/>
    <w:rsid w:val="06255BC2"/>
    <w:rsid w:val="062C6F51"/>
    <w:rsid w:val="063D4CBA"/>
    <w:rsid w:val="06823015"/>
    <w:rsid w:val="069D7E4F"/>
    <w:rsid w:val="06E4288E"/>
    <w:rsid w:val="0707368E"/>
    <w:rsid w:val="07100621"/>
    <w:rsid w:val="071F2612"/>
    <w:rsid w:val="07300CC3"/>
    <w:rsid w:val="076F3599"/>
    <w:rsid w:val="077D1FAE"/>
    <w:rsid w:val="07832BA1"/>
    <w:rsid w:val="078F59E9"/>
    <w:rsid w:val="07D57174"/>
    <w:rsid w:val="07E15B19"/>
    <w:rsid w:val="07F25F78"/>
    <w:rsid w:val="08204893"/>
    <w:rsid w:val="083C3EF0"/>
    <w:rsid w:val="08A2174C"/>
    <w:rsid w:val="08A6123D"/>
    <w:rsid w:val="08B84ACC"/>
    <w:rsid w:val="08C276F9"/>
    <w:rsid w:val="093C394F"/>
    <w:rsid w:val="096802A0"/>
    <w:rsid w:val="096D4E25"/>
    <w:rsid w:val="0978425B"/>
    <w:rsid w:val="09A410D3"/>
    <w:rsid w:val="09A45050"/>
    <w:rsid w:val="09E35B78"/>
    <w:rsid w:val="09F63AFE"/>
    <w:rsid w:val="0A0A1357"/>
    <w:rsid w:val="0A0D7099"/>
    <w:rsid w:val="0A2D5046"/>
    <w:rsid w:val="0A6A629A"/>
    <w:rsid w:val="0B09160F"/>
    <w:rsid w:val="0B0E4E77"/>
    <w:rsid w:val="0B13248D"/>
    <w:rsid w:val="0B974E6D"/>
    <w:rsid w:val="0BB51797"/>
    <w:rsid w:val="0BB7585C"/>
    <w:rsid w:val="0BF95B27"/>
    <w:rsid w:val="0C3D1EB8"/>
    <w:rsid w:val="0C550884"/>
    <w:rsid w:val="0C7D22B4"/>
    <w:rsid w:val="0CA041F5"/>
    <w:rsid w:val="0CA37841"/>
    <w:rsid w:val="0CA43CE5"/>
    <w:rsid w:val="0CE538D2"/>
    <w:rsid w:val="0CE9794A"/>
    <w:rsid w:val="0CEC743A"/>
    <w:rsid w:val="0CEF2A86"/>
    <w:rsid w:val="0D1349C7"/>
    <w:rsid w:val="0D1A3FA7"/>
    <w:rsid w:val="0D2A1D10"/>
    <w:rsid w:val="0D3B5CCB"/>
    <w:rsid w:val="0D662D48"/>
    <w:rsid w:val="0D755681"/>
    <w:rsid w:val="0D766D04"/>
    <w:rsid w:val="0DA41AC3"/>
    <w:rsid w:val="0DDF2AFB"/>
    <w:rsid w:val="0DED6FC6"/>
    <w:rsid w:val="0E0D1416"/>
    <w:rsid w:val="0E2844A2"/>
    <w:rsid w:val="0EC3241C"/>
    <w:rsid w:val="0EC8358F"/>
    <w:rsid w:val="0EF40828"/>
    <w:rsid w:val="0EF645A0"/>
    <w:rsid w:val="0F0767AD"/>
    <w:rsid w:val="0F144A26"/>
    <w:rsid w:val="0F5D63CD"/>
    <w:rsid w:val="0F8F6C6C"/>
    <w:rsid w:val="0F9B0CA3"/>
    <w:rsid w:val="0FCA4AC8"/>
    <w:rsid w:val="10240C99"/>
    <w:rsid w:val="10305890"/>
    <w:rsid w:val="1074577C"/>
    <w:rsid w:val="10A36062"/>
    <w:rsid w:val="10A41992"/>
    <w:rsid w:val="10C009C2"/>
    <w:rsid w:val="113B273E"/>
    <w:rsid w:val="11553800"/>
    <w:rsid w:val="116E6670"/>
    <w:rsid w:val="118E286E"/>
    <w:rsid w:val="11C269BB"/>
    <w:rsid w:val="11DF30C9"/>
    <w:rsid w:val="11FC55B2"/>
    <w:rsid w:val="123D0DC4"/>
    <w:rsid w:val="123D6042"/>
    <w:rsid w:val="12492C39"/>
    <w:rsid w:val="12B04A66"/>
    <w:rsid w:val="12C10A21"/>
    <w:rsid w:val="133751B0"/>
    <w:rsid w:val="13AB3BAB"/>
    <w:rsid w:val="13C24A51"/>
    <w:rsid w:val="13D529D6"/>
    <w:rsid w:val="143D057B"/>
    <w:rsid w:val="14522278"/>
    <w:rsid w:val="145A2EDB"/>
    <w:rsid w:val="148B12E6"/>
    <w:rsid w:val="148D505F"/>
    <w:rsid w:val="14D56A06"/>
    <w:rsid w:val="152D239E"/>
    <w:rsid w:val="158C3568"/>
    <w:rsid w:val="159B7C4F"/>
    <w:rsid w:val="15AE34DE"/>
    <w:rsid w:val="15B900D5"/>
    <w:rsid w:val="164B7AB3"/>
    <w:rsid w:val="167504A0"/>
    <w:rsid w:val="16753FFC"/>
    <w:rsid w:val="169923E1"/>
    <w:rsid w:val="16C9582D"/>
    <w:rsid w:val="16CE195E"/>
    <w:rsid w:val="16E80C72"/>
    <w:rsid w:val="16F92E7F"/>
    <w:rsid w:val="16FF7D6A"/>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46E1B"/>
    <w:rsid w:val="18AC5CCF"/>
    <w:rsid w:val="18F27B86"/>
    <w:rsid w:val="190653E0"/>
    <w:rsid w:val="193B777F"/>
    <w:rsid w:val="19461C80"/>
    <w:rsid w:val="196A0064"/>
    <w:rsid w:val="1A023DF9"/>
    <w:rsid w:val="1A0E6C42"/>
    <w:rsid w:val="1B1A7868"/>
    <w:rsid w:val="1B5C1C2F"/>
    <w:rsid w:val="1B5C578B"/>
    <w:rsid w:val="1B7E5B89"/>
    <w:rsid w:val="1B972C67"/>
    <w:rsid w:val="1BA17641"/>
    <w:rsid w:val="1BD47A17"/>
    <w:rsid w:val="1BDB0DA5"/>
    <w:rsid w:val="1C3D736A"/>
    <w:rsid w:val="1C5D5C5E"/>
    <w:rsid w:val="1C76287C"/>
    <w:rsid w:val="1C7D3D43"/>
    <w:rsid w:val="1CB67FC3"/>
    <w:rsid w:val="1CC67A36"/>
    <w:rsid w:val="1CD50AE4"/>
    <w:rsid w:val="1CDF6673"/>
    <w:rsid w:val="1CFF2872"/>
    <w:rsid w:val="1D13631D"/>
    <w:rsid w:val="1D303373"/>
    <w:rsid w:val="1D456C27"/>
    <w:rsid w:val="1DAA4ED3"/>
    <w:rsid w:val="1DE136C7"/>
    <w:rsid w:val="1DFD1C32"/>
    <w:rsid w:val="1E37603B"/>
    <w:rsid w:val="1E990AA4"/>
    <w:rsid w:val="1EA14EF1"/>
    <w:rsid w:val="1EDA3596"/>
    <w:rsid w:val="1F0A02A3"/>
    <w:rsid w:val="1F49071C"/>
    <w:rsid w:val="1F5A46D7"/>
    <w:rsid w:val="1FAA11BB"/>
    <w:rsid w:val="1FBF453A"/>
    <w:rsid w:val="1FD004F5"/>
    <w:rsid w:val="20A976C4"/>
    <w:rsid w:val="20FD356C"/>
    <w:rsid w:val="21294361"/>
    <w:rsid w:val="215A451A"/>
    <w:rsid w:val="21635AC5"/>
    <w:rsid w:val="21C347B6"/>
    <w:rsid w:val="21C45C2A"/>
    <w:rsid w:val="21D70C81"/>
    <w:rsid w:val="21E8421C"/>
    <w:rsid w:val="221C3EC6"/>
    <w:rsid w:val="225304F1"/>
    <w:rsid w:val="226C6BFB"/>
    <w:rsid w:val="227710FC"/>
    <w:rsid w:val="22A5210D"/>
    <w:rsid w:val="22C205C9"/>
    <w:rsid w:val="22CF2CE6"/>
    <w:rsid w:val="23447230"/>
    <w:rsid w:val="235356C5"/>
    <w:rsid w:val="23CA4816"/>
    <w:rsid w:val="24150BCD"/>
    <w:rsid w:val="243C084F"/>
    <w:rsid w:val="24466FD8"/>
    <w:rsid w:val="24661428"/>
    <w:rsid w:val="248D27F1"/>
    <w:rsid w:val="253B0B07"/>
    <w:rsid w:val="2540611D"/>
    <w:rsid w:val="254E4396"/>
    <w:rsid w:val="25565941"/>
    <w:rsid w:val="25F0544D"/>
    <w:rsid w:val="26437C73"/>
    <w:rsid w:val="2650413E"/>
    <w:rsid w:val="26720558"/>
    <w:rsid w:val="269B7AAF"/>
    <w:rsid w:val="26B20955"/>
    <w:rsid w:val="27167A8B"/>
    <w:rsid w:val="273F48DE"/>
    <w:rsid w:val="27910EB2"/>
    <w:rsid w:val="27D41477"/>
    <w:rsid w:val="27E47234"/>
    <w:rsid w:val="281318C7"/>
    <w:rsid w:val="284101E2"/>
    <w:rsid w:val="287E31E4"/>
    <w:rsid w:val="288D3427"/>
    <w:rsid w:val="28A95D87"/>
    <w:rsid w:val="29226266"/>
    <w:rsid w:val="29341AF5"/>
    <w:rsid w:val="29673C78"/>
    <w:rsid w:val="29713F9E"/>
    <w:rsid w:val="29DD03DE"/>
    <w:rsid w:val="2A111E36"/>
    <w:rsid w:val="2A612DBE"/>
    <w:rsid w:val="2AA66A22"/>
    <w:rsid w:val="2ACA0963"/>
    <w:rsid w:val="2AD76BDC"/>
    <w:rsid w:val="2AFC2AE6"/>
    <w:rsid w:val="2B6B3768"/>
    <w:rsid w:val="2B944ACD"/>
    <w:rsid w:val="2BD17ACF"/>
    <w:rsid w:val="2BDB26FC"/>
    <w:rsid w:val="2C1D2D14"/>
    <w:rsid w:val="2CC47634"/>
    <w:rsid w:val="2CC77538"/>
    <w:rsid w:val="2CFF241A"/>
    <w:rsid w:val="2D430559"/>
    <w:rsid w:val="2D6A3D37"/>
    <w:rsid w:val="2D964B2C"/>
    <w:rsid w:val="2DC72F38"/>
    <w:rsid w:val="2DE97352"/>
    <w:rsid w:val="2E2E1209"/>
    <w:rsid w:val="2E47051C"/>
    <w:rsid w:val="2E580034"/>
    <w:rsid w:val="2E627104"/>
    <w:rsid w:val="2E921798"/>
    <w:rsid w:val="2EDA32F0"/>
    <w:rsid w:val="2F155F25"/>
    <w:rsid w:val="2F176141"/>
    <w:rsid w:val="2F210D6D"/>
    <w:rsid w:val="2F285C58"/>
    <w:rsid w:val="2F6D7B0F"/>
    <w:rsid w:val="2FBE480E"/>
    <w:rsid w:val="2FD962A4"/>
    <w:rsid w:val="30073ABF"/>
    <w:rsid w:val="30314FE0"/>
    <w:rsid w:val="305D7B83"/>
    <w:rsid w:val="30F71D86"/>
    <w:rsid w:val="315E0057"/>
    <w:rsid w:val="31684A32"/>
    <w:rsid w:val="320C360F"/>
    <w:rsid w:val="3239017C"/>
    <w:rsid w:val="324A2389"/>
    <w:rsid w:val="324C4353"/>
    <w:rsid w:val="32584AA6"/>
    <w:rsid w:val="3260395B"/>
    <w:rsid w:val="3268280F"/>
    <w:rsid w:val="328F5FEE"/>
    <w:rsid w:val="32D81743"/>
    <w:rsid w:val="330B1B18"/>
    <w:rsid w:val="33185FE3"/>
    <w:rsid w:val="333170A5"/>
    <w:rsid w:val="333D5A4A"/>
    <w:rsid w:val="33CF2B46"/>
    <w:rsid w:val="343E5F1E"/>
    <w:rsid w:val="34473024"/>
    <w:rsid w:val="348F22D5"/>
    <w:rsid w:val="349F4C0E"/>
    <w:rsid w:val="34AD1F5D"/>
    <w:rsid w:val="34CB5A03"/>
    <w:rsid w:val="35386E11"/>
    <w:rsid w:val="355359F9"/>
    <w:rsid w:val="35753BC1"/>
    <w:rsid w:val="358160C2"/>
    <w:rsid w:val="36253675"/>
    <w:rsid w:val="365915A5"/>
    <w:rsid w:val="366B28CE"/>
    <w:rsid w:val="36941E25"/>
    <w:rsid w:val="36B81FB7"/>
    <w:rsid w:val="36DE12F2"/>
    <w:rsid w:val="370A20E7"/>
    <w:rsid w:val="372431A9"/>
    <w:rsid w:val="373F4487"/>
    <w:rsid w:val="37537F32"/>
    <w:rsid w:val="37623CD1"/>
    <w:rsid w:val="37667C65"/>
    <w:rsid w:val="377C4D93"/>
    <w:rsid w:val="377D6D5D"/>
    <w:rsid w:val="379C71E3"/>
    <w:rsid w:val="37AC319E"/>
    <w:rsid w:val="37CD1A92"/>
    <w:rsid w:val="3814321D"/>
    <w:rsid w:val="38327B47"/>
    <w:rsid w:val="384C6E5B"/>
    <w:rsid w:val="38657F1D"/>
    <w:rsid w:val="38961E84"/>
    <w:rsid w:val="38B247E4"/>
    <w:rsid w:val="38CD161E"/>
    <w:rsid w:val="391334D5"/>
    <w:rsid w:val="391D25A6"/>
    <w:rsid w:val="39382F3B"/>
    <w:rsid w:val="39785A2E"/>
    <w:rsid w:val="398B5761"/>
    <w:rsid w:val="39930ABA"/>
    <w:rsid w:val="39A131D7"/>
    <w:rsid w:val="39B051C8"/>
    <w:rsid w:val="39C40C73"/>
    <w:rsid w:val="39D569DC"/>
    <w:rsid w:val="39E210F9"/>
    <w:rsid w:val="39F5707E"/>
    <w:rsid w:val="3A255BB6"/>
    <w:rsid w:val="3A663AD8"/>
    <w:rsid w:val="3A6A181A"/>
    <w:rsid w:val="3A886145"/>
    <w:rsid w:val="3AEA64B7"/>
    <w:rsid w:val="3B2D45F6"/>
    <w:rsid w:val="3B5129DA"/>
    <w:rsid w:val="3B514788"/>
    <w:rsid w:val="3B714E2B"/>
    <w:rsid w:val="3B781D15"/>
    <w:rsid w:val="3B9052B1"/>
    <w:rsid w:val="3C017F5D"/>
    <w:rsid w:val="3C522566"/>
    <w:rsid w:val="3CBF1EF8"/>
    <w:rsid w:val="3D0E5EAE"/>
    <w:rsid w:val="3D0F2205"/>
    <w:rsid w:val="3D26209C"/>
    <w:rsid w:val="3D436353"/>
    <w:rsid w:val="3D69400B"/>
    <w:rsid w:val="3DBA03C3"/>
    <w:rsid w:val="3DD516A1"/>
    <w:rsid w:val="3DEE4511"/>
    <w:rsid w:val="3E1877DF"/>
    <w:rsid w:val="3EE80F60"/>
    <w:rsid w:val="3EEF22EE"/>
    <w:rsid w:val="3F827606"/>
    <w:rsid w:val="3FCE0156"/>
    <w:rsid w:val="401F09B1"/>
    <w:rsid w:val="40685370"/>
    <w:rsid w:val="4081341A"/>
    <w:rsid w:val="40DE135D"/>
    <w:rsid w:val="41067A9A"/>
    <w:rsid w:val="410A1661"/>
    <w:rsid w:val="41110C42"/>
    <w:rsid w:val="418D5DEE"/>
    <w:rsid w:val="41A040A5"/>
    <w:rsid w:val="41AE46E3"/>
    <w:rsid w:val="41B33AA7"/>
    <w:rsid w:val="41C23CEA"/>
    <w:rsid w:val="41D81760"/>
    <w:rsid w:val="42226223"/>
    <w:rsid w:val="426D00FA"/>
    <w:rsid w:val="428C42F8"/>
    <w:rsid w:val="42997141"/>
    <w:rsid w:val="42B75819"/>
    <w:rsid w:val="42DE4B54"/>
    <w:rsid w:val="42E67EAC"/>
    <w:rsid w:val="42F97BDF"/>
    <w:rsid w:val="430420E0"/>
    <w:rsid w:val="43167462"/>
    <w:rsid w:val="432B58BF"/>
    <w:rsid w:val="43882D11"/>
    <w:rsid w:val="43B65AD0"/>
    <w:rsid w:val="43C04259"/>
    <w:rsid w:val="43F14BBE"/>
    <w:rsid w:val="43FD36FF"/>
    <w:rsid w:val="440E3217"/>
    <w:rsid w:val="448B0D0B"/>
    <w:rsid w:val="44BF2763"/>
    <w:rsid w:val="45034D45"/>
    <w:rsid w:val="457C0654"/>
    <w:rsid w:val="459736E0"/>
    <w:rsid w:val="45B147A1"/>
    <w:rsid w:val="45F14B9E"/>
    <w:rsid w:val="4690085B"/>
    <w:rsid w:val="469A48DC"/>
    <w:rsid w:val="46DF70EC"/>
    <w:rsid w:val="46FA5CD4"/>
    <w:rsid w:val="47042BC4"/>
    <w:rsid w:val="472F1E22"/>
    <w:rsid w:val="47543EB9"/>
    <w:rsid w:val="476F66C2"/>
    <w:rsid w:val="47743CD8"/>
    <w:rsid w:val="47925F0D"/>
    <w:rsid w:val="47B70069"/>
    <w:rsid w:val="47D227AD"/>
    <w:rsid w:val="48027536"/>
    <w:rsid w:val="48054931"/>
    <w:rsid w:val="48537D92"/>
    <w:rsid w:val="48831CF9"/>
    <w:rsid w:val="48A95C04"/>
    <w:rsid w:val="48C06AA9"/>
    <w:rsid w:val="48CB5B7A"/>
    <w:rsid w:val="48DE32C9"/>
    <w:rsid w:val="48F30C2D"/>
    <w:rsid w:val="490B41C9"/>
    <w:rsid w:val="49170DBF"/>
    <w:rsid w:val="49261002"/>
    <w:rsid w:val="4929464F"/>
    <w:rsid w:val="49331890"/>
    <w:rsid w:val="49553696"/>
    <w:rsid w:val="4970227E"/>
    <w:rsid w:val="49940662"/>
    <w:rsid w:val="49A168DB"/>
    <w:rsid w:val="49A308A5"/>
    <w:rsid w:val="49AA39E1"/>
    <w:rsid w:val="49AB775A"/>
    <w:rsid w:val="49C01457"/>
    <w:rsid w:val="49E113CD"/>
    <w:rsid w:val="49EC3FFA"/>
    <w:rsid w:val="4A565917"/>
    <w:rsid w:val="4A5D5C26"/>
    <w:rsid w:val="4A6F2535"/>
    <w:rsid w:val="4A8F4985"/>
    <w:rsid w:val="4AAA5C63"/>
    <w:rsid w:val="4B0709C0"/>
    <w:rsid w:val="4B0E1D4E"/>
    <w:rsid w:val="4B2C0426"/>
    <w:rsid w:val="4B2E0642"/>
    <w:rsid w:val="4B4518DD"/>
    <w:rsid w:val="4B683B54"/>
    <w:rsid w:val="4BE156B5"/>
    <w:rsid w:val="4BF70A34"/>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834801"/>
    <w:rsid w:val="4EA948EE"/>
    <w:rsid w:val="4EB26E94"/>
    <w:rsid w:val="4F11005F"/>
    <w:rsid w:val="4F701229"/>
    <w:rsid w:val="4F754A92"/>
    <w:rsid w:val="50294201"/>
    <w:rsid w:val="503264DF"/>
    <w:rsid w:val="503F29AA"/>
    <w:rsid w:val="505428F9"/>
    <w:rsid w:val="50760AC1"/>
    <w:rsid w:val="50C35389"/>
    <w:rsid w:val="50C86E43"/>
    <w:rsid w:val="50CD6207"/>
    <w:rsid w:val="50E023DF"/>
    <w:rsid w:val="510C4F82"/>
    <w:rsid w:val="514364CA"/>
    <w:rsid w:val="51764AF1"/>
    <w:rsid w:val="51780522"/>
    <w:rsid w:val="51A52CE0"/>
    <w:rsid w:val="51D6733E"/>
    <w:rsid w:val="51DF2696"/>
    <w:rsid w:val="52100AA2"/>
    <w:rsid w:val="52416EAD"/>
    <w:rsid w:val="52EA4E4F"/>
    <w:rsid w:val="52F537F4"/>
    <w:rsid w:val="53195734"/>
    <w:rsid w:val="533B7DA0"/>
    <w:rsid w:val="539227A8"/>
    <w:rsid w:val="53B86CFB"/>
    <w:rsid w:val="53C658BC"/>
    <w:rsid w:val="53D004E8"/>
    <w:rsid w:val="53E21FCA"/>
    <w:rsid w:val="53F00B8B"/>
    <w:rsid w:val="541859EC"/>
    <w:rsid w:val="54324CFF"/>
    <w:rsid w:val="54520EFE"/>
    <w:rsid w:val="54576514"/>
    <w:rsid w:val="549534E0"/>
    <w:rsid w:val="54B576DE"/>
    <w:rsid w:val="54D95F81"/>
    <w:rsid w:val="54DC2EBD"/>
    <w:rsid w:val="54EF2BF0"/>
    <w:rsid w:val="54F2448F"/>
    <w:rsid w:val="54FB77E7"/>
    <w:rsid w:val="550C0C23"/>
    <w:rsid w:val="552A59D6"/>
    <w:rsid w:val="55652EB2"/>
    <w:rsid w:val="557430F6"/>
    <w:rsid w:val="55833339"/>
    <w:rsid w:val="55E4027B"/>
    <w:rsid w:val="55E92391"/>
    <w:rsid w:val="56224B5D"/>
    <w:rsid w:val="56336B0D"/>
    <w:rsid w:val="564F7575"/>
    <w:rsid w:val="56860AE0"/>
    <w:rsid w:val="56AE2637"/>
    <w:rsid w:val="56D71B8E"/>
    <w:rsid w:val="56EA7B13"/>
    <w:rsid w:val="571406EC"/>
    <w:rsid w:val="573214BA"/>
    <w:rsid w:val="573963A5"/>
    <w:rsid w:val="57A74D3D"/>
    <w:rsid w:val="58247055"/>
    <w:rsid w:val="5847689F"/>
    <w:rsid w:val="58562F86"/>
    <w:rsid w:val="585B234B"/>
    <w:rsid w:val="588B0E82"/>
    <w:rsid w:val="58C47EF0"/>
    <w:rsid w:val="58C83E84"/>
    <w:rsid w:val="59044790"/>
    <w:rsid w:val="59B47F65"/>
    <w:rsid w:val="59BA0A98"/>
    <w:rsid w:val="59CC1752"/>
    <w:rsid w:val="5A04713E"/>
    <w:rsid w:val="5A2275C4"/>
    <w:rsid w:val="5A306A81"/>
    <w:rsid w:val="5A7D47FA"/>
    <w:rsid w:val="5A7E3943"/>
    <w:rsid w:val="5A875679"/>
    <w:rsid w:val="5A89319F"/>
    <w:rsid w:val="5A9D4E9D"/>
    <w:rsid w:val="5AC93EE4"/>
    <w:rsid w:val="5ACC1F22"/>
    <w:rsid w:val="5ACC4C63"/>
    <w:rsid w:val="5B0647F0"/>
    <w:rsid w:val="5B6D2AC1"/>
    <w:rsid w:val="5BC36B85"/>
    <w:rsid w:val="5C4F7E50"/>
    <w:rsid w:val="5C5A1297"/>
    <w:rsid w:val="5C69772C"/>
    <w:rsid w:val="5C6E089F"/>
    <w:rsid w:val="5C907F6B"/>
    <w:rsid w:val="5C9B365E"/>
    <w:rsid w:val="5CC2508E"/>
    <w:rsid w:val="5CC6692D"/>
    <w:rsid w:val="5CE96177"/>
    <w:rsid w:val="5D244ED9"/>
    <w:rsid w:val="5DD010E5"/>
    <w:rsid w:val="5DEB5F1F"/>
    <w:rsid w:val="5E7F38DC"/>
    <w:rsid w:val="5EA507C4"/>
    <w:rsid w:val="5EDD61AF"/>
    <w:rsid w:val="5EF05EE3"/>
    <w:rsid w:val="5F3758C0"/>
    <w:rsid w:val="5F557AF4"/>
    <w:rsid w:val="5F6465CB"/>
    <w:rsid w:val="5F942D12"/>
    <w:rsid w:val="5FA97E40"/>
    <w:rsid w:val="60065292"/>
    <w:rsid w:val="603F2E02"/>
    <w:rsid w:val="60561D75"/>
    <w:rsid w:val="606C3347"/>
    <w:rsid w:val="607C7302"/>
    <w:rsid w:val="609D5BF6"/>
    <w:rsid w:val="60C211B9"/>
    <w:rsid w:val="60D22253"/>
    <w:rsid w:val="60D84E80"/>
    <w:rsid w:val="611C2FBF"/>
    <w:rsid w:val="613A3445"/>
    <w:rsid w:val="61616C24"/>
    <w:rsid w:val="618446C0"/>
    <w:rsid w:val="61B4001A"/>
    <w:rsid w:val="61D07906"/>
    <w:rsid w:val="62126170"/>
    <w:rsid w:val="626C2488"/>
    <w:rsid w:val="62AC2121"/>
    <w:rsid w:val="63091321"/>
    <w:rsid w:val="635A392B"/>
    <w:rsid w:val="6381535B"/>
    <w:rsid w:val="63870498"/>
    <w:rsid w:val="638B61DA"/>
    <w:rsid w:val="63A86D8C"/>
    <w:rsid w:val="63AC7EFE"/>
    <w:rsid w:val="63E40462"/>
    <w:rsid w:val="643A375C"/>
    <w:rsid w:val="64487C27"/>
    <w:rsid w:val="64634A61"/>
    <w:rsid w:val="648C045C"/>
    <w:rsid w:val="648D7D30"/>
    <w:rsid w:val="651144BD"/>
    <w:rsid w:val="65510D5D"/>
    <w:rsid w:val="65640A91"/>
    <w:rsid w:val="656B62C3"/>
    <w:rsid w:val="65A949C0"/>
    <w:rsid w:val="65AA7DC8"/>
    <w:rsid w:val="65B17A4E"/>
    <w:rsid w:val="665C35D6"/>
    <w:rsid w:val="66763171"/>
    <w:rsid w:val="669058B5"/>
    <w:rsid w:val="66974E96"/>
    <w:rsid w:val="66C43EFD"/>
    <w:rsid w:val="66D25ECE"/>
    <w:rsid w:val="66F67E0E"/>
    <w:rsid w:val="67185FD7"/>
    <w:rsid w:val="67397CFB"/>
    <w:rsid w:val="675608AD"/>
    <w:rsid w:val="67AA3EF1"/>
    <w:rsid w:val="67BF3E48"/>
    <w:rsid w:val="67D30150"/>
    <w:rsid w:val="67EE4F89"/>
    <w:rsid w:val="68123593"/>
    <w:rsid w:val="685F7C35"/>
    <w:rsid w:val="68A45648"/>
    <w:rsid w:val="68BF08FC"/>
    <w:rsid w:val="69117181"/>
    <w:rsid w:val="6933534A"/>
    <w:rsid w:val="693370F8"/>
    <w:rsid w:val="694A4441"/>
    <w:rsid w:val="6985134D"/>
    <w:rsid w:val="69EC72A7"/>
    <w:rsid w:val="69F83E9D"/>
    <w:rsid w:val="6A18009C"/>
    <w:rsid w:val="6AA03474"/>
    <w:rsid w:val="6ACA3A8C"/>
    <w:rsid w:val="6AF723A7"/>
    <w:rsid w:val="6B0D5727"/>
    <w:rsid w:val="6B9D2F4E"/>
    <w:rsid w:val="6BBB1626"/>
    <w:rsid w:val="6C0703C8"/>
    <w:rsid w:val="6C272818"/>
    <w:rsid w:val="6C276CBC"/>
    <w:rsid w:val="6C924135"/>
    <w:rsid w:val="6CB26586"/>
    <w:rsid w:val="6D0D3FE0"/>
    <w:rsid w:val="6D8714E4"/>
    <w:rsid w:val="6DAE1443"/>
    <w:rsid w:val="6DC93FB0"/>
    <w:rsid w:val="6DCF4F15"/>
    <w:rsid w:val="6E0F17B6"/>
    <w:rsid w:val="6E681AD6"/>
    <w:rsid w:val="6EF74724"/>
    <w:rsid w:val="6F12155D"/>
    <w:rsid w:val="6F3F60CB"/>
    <w:rsid w:val="6F525DFE"/>
    <w:rsid w:val="6F881820"/>
    <w:rsid w:val="6FB97C2B"/>
    <w:rsid w:val="6FD40F09"/>
    <w:rsid w:val="700D682A"/>
    <w:rsid w:val="704240C4"/>
    <w:rsid w:val="70932B72"/>
    <w:rsid w:val="711E06E8"/>
    <w:rsid w:val="71D074AE"/>
    <w:rsid w:val="71EF5B86"/>
    <w:rsid w:val="72007D93"/>
    <w:rsid w:val="72031631"/>
    <w:rsid w:val="72514A93"/>
    <w:rsid w:val="727A5D97"/>
    <w:rsid w:val="727B38BE"/>
    <w:rsid w:val="729F75AC"/>
    <w:rsid w:val="72AB015D"/>
    <w:rsid w:val="72F35B4A"/>
    <w:rsid w:val="72FA0C86"/>
    <w:rsid w:val="73133AF6"/>
    <w:rsid w:val="732F5A65"/>
    <w:rsid w:val="736B3932"/>
    <w:rsid w:val="73AA26AC"/>
    <w:rsid w:val="73AF381F"/>
    <w:rsid w:val="73F12089"/>
    <w:rsid w:val="740873D3"/>
    <w:rsid w:val="740F250F"/>
    <w:rsid w:val="7436113E"/>
    <w:rsid w:val="746960C4"/>
    <w:rsid w:val="74793E2D"/>
    <w:rsid w:val="74856C75"/>
    <w:rsid w:val="750C6D52"/>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69211D6"/>
    <w:rsid w:val="76C70E7F"/>
    <w:rsid w:val="76D85424"/>
    <w:rsid w:val="774E7290"/>
    <w:rsid w:val="776B5CAF"/>
    <w:rsid w:val="77B07B65"/>
    <w:rsid w:val="77E3618D"/>
    <w:rsid w:val="782F4F2E"/>
    <w:rsid w:val="783F0EE9"/>
    <w:rsid w:val="79246A5D"/>
    <w:rsid w:val="79563C5E"/>
    <w:rsid w:val="797F5A41"/>
    <w:rsid w:val="79FE17EB"/>
    <w:rsid w:val="7A0B3779"/>
    <w:rsid w:val="7A2D36EF"/>
    <w:rsid w:val="7A304F8E"/>
    <w:rsid w:val="7A794B87"/>
    <w:rsid w:val="7ABD0F17"/>
    <w:rsid w:val="7AE00762"/>
    <w:rsid w:val="7AE71AF0"/>
    <w:rsid w:val="7AEA338E"/>
    <w:rsid w:val="7AEA7832"/>
    <w:rsid w:val="7B25086A"/>
    <w:rsid w:val="7B7535A0"/>
    <w:rsid w:val="7B937ECA"/>
    <w:rsid w:val="7BEE6EAE"/>
    <w:rsid w:val="7C10151B"/>
    <w:rsid w:val="7C66113B"/>
    <w:rsid w:val="7C8617DD"/>
    <w:rsid w:val="7C9F63FA"/>
    <w:rsid w:val="7CB71996"/>
    <w:rsid w:val="7CBB76D8"/>
    <w:rsid w:val="7CC0084B"/>
    <w:rsid w:val="7CDE5175"/>
    <w:rsid w:val="7D0746CC"/>
    <w:rsid w:val="7D20578D"/>
    <w:rsid w:val="7D2A660C"/>
    <w:rsid w:val="7D2D1C58"/>
    <w:rsid w:val="7D450D50"/>
    <w:rsid w:val="7D52346D"/>
    <w:rsid w:val="7DA97531"/>
    <w:rsid w:val="7E002EC9"/>
    <w:rsid w:val="7E10135E"/>
    <w:rsid w:val="7E2968C4"/>
    <w:rsid w:val="7E3F612C"/>
    <w:rsid w:val="7E417769"/>
    <w:rsid w:val="7E723DC7"/>
    <w:rsid w:val="7E851D4C"/>
    <w:rsid w:val="7E8A7362"/>
    <w:rsid w:val="7EDE76AE"/>
    <w:rsid w:val="7EEF18BB"/>
    <w:rsid w:val="7EF26CB5"/>
    <w:rsid w:val="7F547970"/>
    <w:rsid w:val="7F6000C3"/>
    <w:rsid w:val="7F637BB3"/>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4"/>
    <w:basedOn w:val="1"/>
    <w:next w:val="1"/>
    <w:link w:val="16"/>
    <w:autoRedefine/>
    <w:qFormat/>
    <w:uiPriority w:val="1"/>
    <w:pPr>
      <w:spacing w:before="7"/>
      <w:ind w:left="148"/>
      <w:jc w:val="left"/>
      <w:outlineLvl w:val="3"/>
    </w:pPr>
    <w:rPr>
      <w:rFonts w:ascii="宋体" w:hAnsi="宋体"/>
      <w:b/>
      <w:bCs/>
      <w:kern w:val="0"/>
      <w:lang w:eastAsia="en-US"/>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next w:val="1"/>
    <w:autoRedefine/>
    <w:qFormat/>
    <w:uiPriority w:val="0"/>
    <w:rPr>
      <w:rFonts w:ascii="宋体" w:hAnsi="Courier New" w:cs="Courier New"/>
    </w:rPr>
  </w:style>
  <w:style w:type="paragraph" w:styleId="4">
    <w:name w:val="table of authorities"/>
    <w:basedOn w:val="1"/>
    <w:next w:val="1"/>
    <w:unhideWhenUsed/>
    <w:qFormat/>
    <w:uiPriority w:val="99"/>
    <w:pPr>
      <w:ind w:left="420" w:leftChars="200"/>
    </w:pPr>
  </w:style>
  <w:style w:type="paragraph" w:styleId="5">
    <w:name w:val="Body Text"/>
    <w:basedOn w:val="1"/>
    <w:link w:val="17"/>
    <w:autoRedefine/>
    <w:qFormat/>
    <w:uiPriority w:val="0"/>
    <w:pPr>
      <w:snapToGrid w:val="0"/>
      <w:spacing w:line="440" w:lineRule="exact"/>
    </w:pPr>
    <w:rPr>
      <w:rFonts w:ascii="宋体" w:hAnsi="宋体"/>
      <w:color w:val="FF0000"/>
      <w:sz w:val="18"/>
    </w:rPr>
  </w:style>
  <w:style w:type="paragraph" w:styleId="6">
    <w:name w:val="Balloon Text"/>
    <w:basedOn w:val="1"/>
    <w:link w:val="20"/>
    <w:autoRedefine/>
    <w:semiHidden/>
    <w:unhideWhenUsed/>
    <w:qFormat/>
    <w:uiPriority w:val="99"/>
    <w:rPr>
      <w:sz w:val="18"/>
      <w:szCs w:val="18"/>
    </w:rPr>
  </w:style>
  <w:style w:type="paragraph" w:styleId="7">
    <w:name w:val="footer"/>
    <w:basedOn w:val="1"/>
    <w:link w:val="15"/>
    <w:autoRedefine/>
    <w:unhideWhenUsed/>
    <w:qFormat/>
    <w:uiPriority w:val="99"/>
    <w:pPr>
      <w:tabs>
        <w:tab w:val="center" w:pos="4153"/>
        <w:tab w:val="right" w:pos="8306"/>
      </w:tabs>
      <w:snapToGrid w:val="0"/>
      <w:jc w:val="left"/>
    </w:pPr>
    <w:rPr>
      <w:sz w:val="18"/>
      <w:szCs w:val="18"/>
    </w:rPr>
  </w:style>
  <w:style w:type="paragraph" w:styleId="8">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autoRedefine/>
    <w:qFormat/>
    <w:uiPriority w:val="0"/>
    <w:pPr>
      <w:jc w:val="center"/>
      <w:outlineLvl w:val="0"/>
    </w:pPr>
    <w:rPr>
      <w:rFonts w:ascii="Arial" w:hAnsi="Arial"/>
      <w:b/>
      <w:sz w:val="32"/>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99"/>
  </w:style>
  <w:style w:type="character" w:customStyle="1" w:styleId="14">
    <w:name w:val="页眉 Char"/>
    <w:basedOn w:val="12"/>
    <w:link w:val="8"/>
    <w:autoRedefine/>
    <w:qFormat/>
    <w:uiPriority w:val="0"/>
    <w:rPr>
      <w:sz w:val="18"/>
      <w:szCs w:val="18"/>
    </w:rPr>
  </w:style>
  <w:style w:type="character" w:customStyle="1" w:styleId="15">
    <w:name w:val="页脚 Char"/>
    <w:basedOn w:val="12"/>
    <w:link w:val="7"/>
    <w:autoRedefine/>
    <w:semiHidden/>
    <w:qFormat/>
    <w:uiPriority w:val="99"/>
    <w:rPr>
      <w:sz w:val="18"/>
      <w:szCs w:val="18"/>
    </w:rPr>
  </w:style>
  <w:style w:type="character" w:customStyle="1" w:styleId="16">
    <w:name w:val="标题 4 Char"/>
    <w:basedOn w:val="12"/>
    <w:link w:val="3"/>
    <w:autoRedefine/>
    <w:qFormat/>
    <w:uiPriority w:val="1"/>
    <w:rPr>
      <w:rFonts w:ascii="宋体" w:hAnsi="宋体" w:eastAsia="宋体" w:cs="Times New Roman"/>
      <w:b/>
      <w:bCs/>
      <w:kern w:val="0"/>
      <w:szCs w:val="21"/>
      <w:lang w:eastAsia="en-US"/>
    </w:rPr>
  </w:style>
  <w:style w:type="character" w:customStyle="1" w:styleId="17">
    <w:name w:val="正文文本 Char"/>
    <w:basedOn w:val="12"/>
    <w:link w:val="5"/>
    <w:autoRedefine/>
    <w:qFormat/>
    <w:uiPriority w:val="0"/>
    <w:rPr>
      <w:rFonts w:ascii="宋体" w:hAnsi="宋体" w:eastAsia="宋体" w:cs="Times New Roman"/>
      <w:color w:val="FF0000"/>
      <w:sz w:val="18"/>
      <w:szCs w:val="21"/>
    </w:rPr>
  </w:style>
  <w:style w:type="paragraph" w:customStyle="1" w:styleId="18">
    <w:name w:val="Table Paragraph"/>
    <w:basedOn w:val="1"/>
    <w:autoRedefine/>
    <w:qFormat/>
    <w:uiPriority w:val="1"/>
    <w:pPr>
      <w:jc w:val="left"/>
    </w:pPr>
    <w:rPr>
      <w:rFonts w:ascii="Calibri" w:hAnsi="Calibri"/>
      <w:kern w:val="0"/>
      <w:sz w:val="22"/>
      <w:szCs w:val="22"/>
      <w:lang w:eastAsia="en-US"/>
    </w:rPr>
  </w:style>
  <w:style w:type="paragraph" w:customStyle="1" w:styleId="19">
    <w:name w:val="列出段落4"/>
    <w:basedOn w:val="1"/>
    <w:autoRedefine/>
    <w:qFormat/>
    <w:uiPriority w:val="99"/>
    <w:pPr>
      <w:ind w:firstLine="420" w:firstLineChars="200"/>
    </w:pPr>
    <w:rPr>
      <w:rFonts w:ascii="Calibri" w:hAnsi="Calibri" w:cs="Calibri"/>
    </w:rPr>
  </w:style>
  <w:style w:type="character" w:customStyle="1" w:styleId="20">
    <w:name w:val="批注框文本 Char"/>
    <w:basedOn w:val="12"/>
    <w:link w:val="6"/>
    <w:autoRedefine/>
    <w:semiHidden/>
    <w:qFormat/>
    <w:uiPriority w:val="99"/>
    <w:rPr>
      <w:rFonts w:ascii="Times New Roman" w:hAnsi="Times New Roman" w:eastAsia="宋体" w:cs="Times New Roman"/>
      <w:sz w:val="18"/>
      <w:szCs w:val="18"/>
    </w:rPr>
  </w:style>
  <w:style w:type="character" w:customStyle="1" w:styleId="21">
    <w:name w:val="font21"/>
    <w:basedOn w:val="12"/>
    <w:autoRedefine/>
    <w:qFormat/>
    <w:uiPriority w:val="0"/>
    <w:rPr>
      <w:rFonts w:hint="eastAsia" w:ascii="宋体" w:hAnsi="宋体" w:eastAsia="宋体" w:cs="宋体"/>
      <w:color w:val="000000"/>
      <w:sz w:val="24"/>
      <w:szCs w:val="24"/>
      <w:u w:val="none"/>
    </w:rPr>
  </w:style>
  <w:style w:type="character" w:customStyle="1" w:styleId="22">
    <w:name w:val="font31"/>
    <w:basedOn w:val="12"/>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1268</Words>
  <Characters>1494</Characters>
  <Lines>12</Lines>
  <Paragraphs>3</Paragraphs>
  <TotalTime>3</TotalTime>
  <ScaleCrop>false</ScaleCrop>
  <LinksUpToDate>false</LinksUpToDate>
  <CharactersWithSpaces>1546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北冥</cp:lastModifiedBy>
  <dcterms:modified xsi:type="dcterms:W3CDTF">2025-04-02T02:26:55Z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86384721D5D941B48349CBC81EB9B732_13</vt:lpwstr>
  </property>
  <property fmtid="{D5CDD505-2E9C-101B-9397-08002B2CF9AE}" pid="4" name="KSOTemplateDocerSaveRecord">
    <vt:lpwstr>eyJoZGlkIjoiZTBhOWVkYmUxNzIxNjA1NDFiYzg1MTM4MjRiZDYyMTciLCJ1c2VySWQiOiIxMDgwMjg1NDM4In0=</vt:lpwstr>
  </property>
</Properties>
</file>