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2578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六安市裕安区固定式通用灯具</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6A47EFFD">
      <w:pPr>
        <w:spacing w:line="400" w:lineRule="exact"/>
        <w:rPr>
          <w:rFonts w:hint="eastAsia" w:ascii="宋体" w:hAnsi="宋体"/>
          <w:b/>
        </w:rPr>
      </w:pPr>
    </w:p>
    <w:p w14:paraId="4ACDDB0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1  范围</w:t>
      </w:r>
    </w:p>
    <w:p w14:paraId="039459B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本细则适用于六安市裕安区市场监督管理局组织的固定式通用灯具产品质量监督抽查。</w:t>
      </w:r>
    </w:p>
    <w:p w14:paraId="22C4E5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包括</w:t>
      </w:r>
      <w:r>
        <w:rPr>
          <w:rFonts w:hint="eastAsia" w:ascii="宋体" w:hAnsi="宋体" w:cs="Times New Roman"/>
          <w:lang w:val="en-US" w:eastAsia="zh-CN"/>
        </w:rPr>
        <w:t>固定式通用灯具</w:t>
      </w:r>
      <w:r>
        <w:rPr>
          <w:rFonts w:hint="eastAsia" w:ascii="宋体" w:hAnsi="宋体" w:eastAsia="宋体" w:cs="宋体"/>
          <w:highlight w:val="none"/>
          <w:lang w:val="en-US" w:eastAsia="zh-CN"/>
        </w:rPr>
        <w:t>。</w:t>
      </w:r>
    </w:p>
    <w:p w14:paraId="5FAE8AF5">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664A8A9">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  抽样</w:t>
      </w:r>
    </w:p>
    <w:p w14:paraId="6833A493">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2.1  抽样型号或规格</w:t>
      </w:r>
    </w:p>
    <w:p w14:paraId="5C9C0725">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53741CC">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  抽样方法、抽样数量</w:t>
      </w:r>
    </w:p>
    <w:p w14:paraId="3F71A992">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2.2.1  生产企业和市场实体店</w:t>
      </w:r>
    </w:p>
    <w:p w14:paraId="186011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以随机抽样的方式在被抽样生产者、销售者的待销产品中抽取。</w:t>
      </w:r>
    </w:p>
    <w:p w14:paraId="068B24A7">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随机数一般可使用随机数表等方法产生。</w:t>
      </w:r>
    </w:p>
    <w:p w14:paraId="55AC975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auto"/>
          <w:highlight w:val="none"/>
          <w:lang w:val="en-US" w:eastAsia="zh-CN"/>
        </w:rPr>
        <w:t>。</w:t>
      </w:r>
    </w:p>
    <w:p w14:paraId="2020C7A3">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2.2.2  电子商务领域</w:t>
      </w:r>
    </w:p>
    <w:p w14:paraId="4944187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抽样时应当随机选择销量较高的商品进行购买。</w:t>
      </w:r>
    </w:p>
    <w:p w14:paraId="0B6138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cs="Times New Roman"/>
          <w:lang w:val="en-US" w:eastAsia="zh-CN"/>
        </w:rPr>
        <w:t>每批次产品抽取</w:t>
      </w:r>
      <w:r>
        <w:rPr>
          <w:rFonts w:hint="eastAsia" w:ascii="宋体" w:hAnsi="宋体" w:eastAsia="宋体" w:cs="宋体"/>
          <w:lang w:val="en-US" w:eastAsia="zh-CN"/>
        </w:rPr>
        <w:t>样品</w:t>
      </w:r>
      <w:r>
        <w:rPr>
          <w:rFonts w:hint="eastAsia" w:ascii="宋体" w:hAnsi="宋体" w:cs="宋体"/>
          <w:lang w:val="en-US" w:eastAsia="zh-CN"/>
        </w:rPr>
        <w:t>2台</w:t>
      </w:r>
      <w:r>
        <w:rPr>
          <w:rFonts w:hint="eastAsia" w:ascii="宋体" w:hAnsi="宋体" w:eastAsia="宋体" w:cs="宋体"/>
          <w:lang w:val="en-US" w:eastAsia="zh-CN"/>
        </w:rPr>
        <w:t>，其中</w:t>
      </w:r>
      <w:r>
        <w:rPr>
          <w:rFonts w:hint="eastAsia" w:ascii="宋体" w:hAnsi="宋体" w:cs="宋体"/>
          <w:lang w:val="en-US" w:eastAsia="zh-CN"/>
        </w:rPr>
        <w:t>1台</w:t>
      </w:r>
      <w:r>
        <w:rPr>
          <w:rFonts w:hint="eastAsia" w:ascii="宋体" w:hAnsi="宋体" w:eastAsia="宋体" w:cs="宋体"/>
          <w:lang w:val="en-US" w:eastAsia="zh-CN"/>
        </w:rPr>
        <w:t>作为检验样品，</w:t>
      </w:r>
      <w:r>
        <w:rPr>
          <w:rFonts w:hint="eastAsia" w:ascii="宋体" w:hAnsi="宋体" w:cs="宋体"/>
          <w:lang w:val="en-US" w:eastAsia="zh-CN"/>
        </w:rPr>
        <w:t>1台</w:t>
      </w:r>
      <w:r>
        <w:rPr>
          <w:rFonts w:hint="eastAsia" w:ascii="宋体" w:hAnsi="宋体" w:eastAsia="宋体" w:cs="宋体"/>
          <w:lang w:val="en-US" w:eastAsia="zh-CN"/>
        </w:rPr>
        <w:t>作</w:t>
      </w:r>
      <w:r>
        <w:rPr>
          <w:rFonts w:hint="eastAsia" w:ascii="宋体" w:hAnsi="宋体" w:cs="Times New Roman"/>
          <w:lang w:val="en-US" w:eastAsia="zh-CN"/>
        </w:rPr>
        <w:t>为备用样品</w:t>
      </w:r>
      <w:r>
        <w:rPr>
          <w:rFonts w:hint="eastAsia" w:ascii="宋体" w:hAnsi="宋体" w:eastAsia="宋体" w:cs="宋体"/>
          <w:color w:val="000000"/>
          <w:lang w:val="en-US" w:eastAsia="zh-CN"/>
        </w:rPr>
        <w:t>。</w:t>
      </w:r>
    </w:p>
    <w:p w14:paraId="7EF1EFA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  样品处置</w:t>
      </w:r>
    </w:p>
    <w:p w14:paraId="0CA513FD">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2.3.1  生产企业和市场实体店</w:t>
      </w:r>
    </w:p>
    <w:p w14:paraId="756494F8">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bookmarkStart w:id="0" w:name="OLE_LINK2"/>
      <w:bookmarkStart w:id="1" w:name="OLE_LINK3"/>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7BF82032">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t>需要从企业获取检验所需的产品信息时，应在抽样现场获取，并经企业确认。</w:t>
      </w:r>
    </w:p>
    <w:bookmarkEnd w:id="0"/>
    <w:bookmarkEnd w:id="1"/>
    <w:bookmarkEnd w:id="2"/>
    <w:p w14:paraId="03E8516C">
      <w:pPr>
        <w:keepNext w:val="0"/>
        <w:keepLines w:val="0"/>
        <w:pageBreakBefore w:val="0"/>
        <w:widowControl w:val="0"/>
        <w:kinsoku/>
        <w:wordWrap/>
        <w:overflowPunct/>
        <w:topLinePunct w:val="0"/>
        <w:autoSpaceDE/>
        <w:autoSpaceDN/>
        <w:bidi w:val="0"/>
        <w:spacing w:line="400" w:lineRule="exact"/>
        <w:textAlignment w:val="auto"/>
        <w:rPr>
          <w:rFonts w:ascii="宋体" w:hAnsi="宋体"/>
          <w:b/>
          <w:highlight w:val="none"/>
        </w:rPr>
      </w:pPr>
      <w:r>
        <w:rPr>
          <w:rFonts w:hint="eastAsia" w:ascii="宋体" w:hAnsi="宋体"/>
          <w:b/>
          <w:highlight w:val="none"/>
        </w:rPr>
        <w:t>2.3.2  电子商务领域</w:t>
      </w:r>
    </w:p>
    <w:p w14:paraId="5B27F9E4">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样品签收后，应对样品进行拆样、取证、封样、信息记录等操作。</w:t>
      </w:r>
    </w:p>
    <w:p w14:paraId="4AACA1CB">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应采取有效的防拆封措施，对检验样品和备用样品分别封样</w:t>
      </w:r>
      <w:r>
        <w:rPr>
          <w:rFonts w:ascii="宋体" w:hAnsi="宋体"/>
        </w:rPr>
        <w:t>。</w:t>
      </w:r>
    </w:p>
    <w:p w14:paraId="5B47103E">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ascii="宋体" w:hAnsi="宋体"/>
        </w:rPr>
        <w:t>抽样人员应在封样单上签名，注明封样日期、抽样单编号。</w:t>
      </w:r>
    </w:p>
    <w:p w14:paraId="0C2816EB">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5D66A4FA">
      <w:pPr>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b/>
        </w:rPr>
      </w:pPr>
      <w:r>
        <w:rPr>
          <w:rFonts w:hint="eastAsia" w:ascii="宋体" w:hAnsi="宋体"/>
          <w:b/>
        </w:rPr>
        <w:t>3  检验依据</w:t>
      </w:r>
    </w:p>
    <w:p w14:paraId="7B6E3D4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表1 固定式通用灯具检验项目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49"/>
        <w:gridCol w:w="4210"/>
      </w:tblGrid>
      <w:tr w14:paraId="74B1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39A92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49" w:type="dxa"/>
            <w:noWrap w:val="0"/>
            <w:vAlign w:val="center"/>
          </w:tcPr>
          <w:p w14:paraId="511CEA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7A27DB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7C4F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69A6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49" w:type="dxa"/>
            <w:noWrap w:val="0"/>
            <w:vAlign w:val="center"/>
          </w:tcPr>
          <w:p w14:paraId="5951287A">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结构（走线槽、带有不可替换光源的灯具、带有非用户替换光源的灯具）</w:t>
            </w:r>
          </w:p>
        </w:tc>
        <w:tc>
          <w:tcPr>
            <w:tcW w:w="4210" w:type="dxa"/>
            <w:noWrap w:val="0"/>
            <w:vAlign w:val="center"/>
          </w:tcPr>
          <w:p w14:paraId="3BF82A59">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rPr>
              <w:t>GB 7000.1-2015</w:t>
            </w:r>
          </w:p>
        </w:tc>
      </w:tr>
      <w:tr w14:paraId="1B2E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7146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49" w:type="dxa"/>
            <w:noWrap w:val="0"/>
            <w:vAlign w:val="center"/>
          </w:tcPr>
          <w:p w14:paraId="48882C3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外部接线和内部接线（电源连接方法、软线固定架）</w:t>
            </w:r>
          </w:p>
        </w:tc>
        <w:tc>
          <w:tcPr>
            <w:tcW w:w="4210" w:type="dxa"/>
            <w:noWrap w:val="0"/>
            <w:vAlign w:val="center"/>
          </w:tcPr>
          <w:p w14:paraId="4E4C38C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7000.1-2015</w:t>
            </w:r>
          </w:p>
        </w:tc>
      </w:tr>
      <w:tr w14:paraId="3D026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5BAE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49" w:type="dxa"/>
            <w:noWrap w:val="0"/>
            <w:vAlign w:val="center"/>
          </w:tcPr>
          <w:p w14:paraId="70F8D9F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接地规定</w:t>
            </w:r>
          </w:p>
        </w:tc>
        <w:tc>
          <w:tcPr>
            <w:tcW w:w="4210" w:type="dxa"/>
            <w:noWrap w:val="0"/>
            <w:vAlign w:val="center"/>
          </w:tcPr>
          <w:p w14:paraId="0D1FE3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7000.1-2015</w:t>
            </w:r>
          </w:p>
        </w:tc>
      </w:tr>
      <w:tr w14:paraId="374AC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BA6F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49" w:type="dxa"/>
            <w:noWrap w:val="0"/>
            <w:vAlign w:val="center"/>
          </w:tcPr>
          <w:p w14:paraId="4D567AA1">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防触电保护</w:t>
            </w:r>
          </w:p>
        </w:tc>
        <w:tc>
          <w:tcPr>
            <w:tcW w:w="4210" w:type="dxa"/>
            <w:noWrap w:val="0"/>
            <w:vAlign w:val="center"/>
          </w:tcPr>
          <w:p w14:paraId="0C7E26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rPr>
              <w:t>GB 7000.1-2015</w:t>
            </w:r>
          </w:p>
        </w:tc>
      </w:tr>
    </w:tbl>
    <w:p w14:paraId="0DFBA3B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color w:val="auto"/>
        </w:rPr>
        <w:t>执行企业标准、团体标准、地方标准的产品，检验项目参照上述内容执行。</w:t>
      </w:r>
    </w:p>
    <w:p w14:paraId="4D6CC710">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4FEE331C">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561F624">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  判定规则</w:t>
      </w:r>
    </w:p>
    <w:p w14:paraId="7AF37D5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4.1  依据标准</w:t>
      </w:r>
    </w:p>
    <w:p w14:paraId="7EEF787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GB 7000.1-2015灯具 第1部分:一般要求与试验</w:t>
      </w:r>
    </w:p>
    <w:p w14:paraId="3C455D63">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GB 7000.201-2008灯具 第2-1部分：特殊要求 固定式通用灯具</w:t>
      </w:r>
    </w:p>
    <w:p w14:paraId="0A8AA69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现行有效的企业标准、团体标准、地方标准及产品明示质量要求</w:t>
      </w:r>
      <w:bookmarkStart w:id="3" w:name="_GoBack"/>
      <w:bookmarkEnd w:id="3"/>
    </w:p>
    <w:p w14:paraId="15906178">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4.2  判定原则</w:t>
      </w:r>
    </w:p>
    <w:p w14:paraId="4050332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经检验，检验项目全部合格，判定为被抽查产品所检项目未发现不合格；检验项目中任一项或一项以上不合格，判定为被抽查产品不合格。</w:t>
      </w:r>
    </w:p>
    <w:p w14:paraId="4F04BBA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若被检产品明示的质量要求高于本细则中检验项目依据的标准要求时，应按被检产品明示的质量要求判定。</w:t>
      </w:r>
    </w:p>
    <w:p w14:paraId="6A0E1C4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若被检产品明示的质量要求低于本细则中检验项目依据的强制性标准要求时，应按照强制性标准要求判定。</w:t>
      </w:r>
    </w:p>
    <w:p w14:paraId="03325E6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若被检产品明示的质量要求低于或包含本细则中检验项目依据的推荐性标准要求时，应以被检产品明示的质量要求判定。</w:t>
      </w:r>
    </w:p>
    <w:p w14:paraId="21F0DC3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color w:val="000000"/>
        </w:rPr>
      </w:pPr>
      <w:r>
        <w:rPr>
          <w:rFonts w:hint="eastAsia"/>
          <w:color w:val="000000"/>
        </w:rPr>
        <w:t>若被检产品明示的质量要求缺少本细则中检验项目依据的强制性标准要求时，应按照强制性标准要求判定。</w:t>
      </w:r>
    </w:p>
    <w:p w14:paraId="7F9FE3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ascii="宋体" w:hAnsi="宋体"/>
          <w:b/>
        </w:rPr>
      </w:pPr>
      <w:r>
        <w:rPr>
          <w:rFonts w:hint="eastAsia"/>
          <w:color w:val="000000"/>
        </w:rPr>
        <w:t>若被检产品明示的质量要求缺少本细则中检验项目依据的推荐性标准要求时，该项目不参与判定。</w:t>
      </w:r>
    </w:p>
    <w:p w14:paraId="7C7890A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4.3  结论用语</w:t>
      </w:r>
    </w:p>
    <w:p w14:paraId="379E5DC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hint="eastAsia" w:ascii="宋体" w:hAnsi="宋体" w:eastAsia="宋体"/>
          <w:color w:val="auto"/>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《202</w:t>
      </w:r>
      <w:r>
        <w:rPr>
          <w:rFonts w:hint="eastAsia" w:ascii="宋体" w:hAnsi="宋体"/>
          <w:lang w:val="en-US" w:eastAsia="zh-CN"/>
        </w:rPr>
        <w:t>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固定式通用灯具</w:t>
      </w:r>
      <w:r>
        <w:rPr>
          <w:rFonts w:hint="eastAsia" w:ascii="宋体" w:hAnsi="宋体"/>
          <w:color w:val="auto"/>
          <w:highlight w:val="none"/>
        </w:rPr>
        <w:t>产品</w:t>
      </w:r>
      <w:r>
        <w:rPr>
          <w:rFonts w:hint="eastAsia" w:ascii="宋体" w:hAnsi="宋体"/>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64AD0E5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固定式通用灯具</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7D9801B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color w:val="auto"/>
        </w:rPr>
      </w:pPr>
    </w:p>
    <w:p w14:paraId="5DFE2A5F">
      <w:pPr>
        <w:keepNext w:val="0"/>
        <w:keepLines w:val="0"/>
        <w:pageBreakBefore w:val="0"/>
        <w:widowControl w:val="0"/>
        <w:kinsoku/>
        <w:wordWrap/>
        <w:overflowPunct/>
        <w:topLinePunct w:val="0"/>
        <w:autoSpaceDE/>
        <w:autoSpaceDN/>
        <w:bidi w:val="0"/>
        <w:spacing w:line="400" w:lineRule="exact"/>
        <w:textAlignment w:val="auto"/>
        <w:rPr>
          <w:rFonts w:ascii="宋体" w:hAnsi="宋体"/>
          <w:b/>
        </w:rPr>
      </w:pPr>
      <w:r>
        <w:rPr>
          <w:rFonts w:hint="eastAsia" w:ascii="宋体" w:hAnsi="宋体"/>
          <w:b/>
        </w:rPr>
        <w:t>5  附则</w:t>
      </w:r>
    </w:p>
    <w:p w14:paraId="622F717F">
      <w:pPr>
        <w:keepNext w:val="0"/>
        <w:keepLines w:val="0"/>
        <w:pageBreakBefore w:val="0"/>
        <w:widowControl w:val="0"/>
        <w:kinsoku/>
        <w:wordWrap/>
        <w:overflowPunct/>
        <w:topLinePunct w:val="0"/>
        <w:autoSpaceDE/>
        <w:autoSpaceDN/>
        <w:bidi w:val="0"/>
        <w:spacing w:line="400" w:lineRule="exact"/>
        <w:ind w:firstLine="420" w:firstLineChars="200"/>
        <w:textAlignment w:val="auto"/>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D2AD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5DCEF1">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968">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4AB6CB1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9450AB"/>
    <w:rsid w:val="01C74429"/>
    <w:rsid w:val="01E23011"/>
    <w:rsid w:val="02021905"/>
    <w:rsid w:val="02056D00"/>
    <w:rsid w:val="02377574"/>
    <w:rsid w:val="025D6B3C"/>
    <w:rsid w:val="027D2D3A"/>
    <w:rsid w:val="02922C89"/>
    <w:rsid w:val="02BC1AB4"/>
    <w:rsid w:val="02C92423"/>
    <w:rsid w:val="02F56D74"/>
    <w:rsid w:val="02F72AEC"/>
    <w:rsid w:val="032F672A"/>
    <w:rsid w:val="034675D0"/>
    <w:rsid w:val="0361265C"/>
    <w:rsid w:val="0361440A"/>
    <w:rsid w:val="03A26EFC"/>
    <w:rsid w:val="03B66504"/>
    <w:rsid w:val="03C70711"/>
    <w:rsid w:val="04212517"/>
    <w:rsid w:val="04425FE9"/>
    <w:rsid w:val="0486237A"/>
    <w:rsid w:val="04877EA0"/>
    <w:rsid w:val="0575419C"/>
    <w:rsid w:val="05880374"/>
    <w:rsid w:val="059704BA"/>
    <w:rsid w:val="05E41A4E"/>
    <w:rsid w:val="05FE4192"/>
    <w:rsid w:val="06163BD1"/>
    <w:rsid w:val="061A5470"/>
    <w:rsid w:val="06255BC2"/>
    <w:rsid w:val="062C6F51"/>
    <w:rsid w:val="063D4CBA"/>
    <w:rsid w:val="06823015"/>
    <w:rsid w:val="069D7E4F"/>
    <w:rsid w:val="06E4288E"/>
    <w:rsid w:val="0707368E"/>
    <w:rsid w:val="07100621"/>
    <w:rsid w:val="071F2612"/>
    <w:rsid w:val="07300CC3"/>
    <w:rsid w:val="076F3599"/>
    <w:rsid w:val="077D1FAE"/>
    <w:rsid w:val="07832BA1"/>
    <w:rsid w:val="078F59E9"/>
    <w:rsid w:val="07A9564E"/>
    <w:rsid w:val="07D57174"/>
    <w:rsid w:val="07E15B19"/>
    <w:rsid w:val="07F25F78"/>
    <w:rsid w:val="08204893"/>
    <w:rsid w:val="083C3EF0"/>
    <w:rsid w:val="08A2174C"/>
    <w:rsid w:val="08A6123D"/>
    <w:rsid w:val="08B84ACC"/>
    <w:rsid w:val="08C276F9"/>
    <w:rsid w:val="093C394F"/>
    <w:rsid w:val="096802A0"/>
    <w:rsid w:val="096D4E25"/>
    <w:rsid w:val="0978425B"/>
    <w:rsid w:val="09896468"/>
    <w:rsid w:val="09A410D3"/>
    <w:rsid w:val="09A45050"/>
    <w:rsid w:val="09E35B78"/>
    <w:rsid w:val="09F63AFE"/>
    <w:rsid w:val="0A0A1357"/>
    <w:rsid w:val="0A0D7099"/>
    <w:rsid w:val="0A1977EC"/>
    <w:rsid w:val="0A2D5046"/>
    <w:rsid w:val="0A6A629A"/>
    <w:rsid w:val="0B09160F"/>
    <w:rsid w:val="0B0E4E77"/>
    <w:rsid w:val="0B13248D"/>
    <w:rsid w:val="0B974E6D"/>
    <w:rsid w:val="0BB51797"/>
    <w:rsid w:val="0BB7585C"/>
    <w:rsid w:val="0BF95B27"/>
    <w:rsid w:val="0C3D1EB8"/>
    <w:rsid w:val="0C550884"/>
    <w:rsid w:val="0C7D22B4"/>
    <w:rsid w:val="0CA041F5"/>
    <w:rsid w:val="0CA37841"/>
    <w:rsid w:val="0CA43CE5"/>
    <w:rsid w:val="0CE538D2"/>
    <w:rsid w:val="0CE9794A"/>
    <w:rsid w:val="0CEC743A"/>
    <w:rsid w:val="0CEF2A86"/>
    <w:rsid w:val="0CFD1647"/>
    <w:rsid w:val="0D1349C7"/>
    <w:rsid w:val="0D1A3FA7"/>
    <w:rsid w:val="0D2A1D10"/>
    <w:rsid w:val="0D3B5CCB"/>
    <w:rsid w:val="0D662D48"/>
    <w:rsid w:val="0D755681"/>
    <w:rsid w:val="0D766D04"/>
    <w:rsid w:val="0DA41AC3"/>
    <w:rsid w:val="0DDF2AFB"/>
    <w:rsid w:val="0DED6FC6"/>
    <w:rsid w:val="0E0D1416"/>
    <w:rsid w:val="0E2844A2"/>
    <w:rsid w:val="0EC3241C"/>
    <w:rsid w:val="0EC8358F"/>
    <w:rsid w:val="0EF40828"/>
    <w:rsid w:val="0EF645A0"/>
    <w:rsid w:val="0F0767AD"/>
    <w:rsid w:val="0F144A26"/>
    <w:rsid w:val="0F5D63CD"/>
    <w:rsid w:val="0F8F6C6C"/>
    <w:rsid w:val="0F9B0CA3"/>
    <w:rsid w:val="0FCA4AC8"/>
    <w:rsid w:val="10240C99"/>
    <w:rsid w:val="10305890"/>
    <w:rsid w:val="1074577C"/>
    <w:rsid w:val="10A36062"/>
    <w:rsid w:val="10A41992"/>
    <w:rsid w:val="10C009C2"/>
    <w:rsid w:val="113B273E"/>
    <w:rsid w:val="11553800"/>
    <w:rsid w:val="116E6670"/>
    <w:rsid w:val="118E286E"/>
    <w:rsid w:val="11C269BB"/>
    <w:rsid w:val="11DF30C9"/>
    <w:rsid w:val="11FC55B2"/>
    <w:rsid w:val="123D0DC4"/>
    <w:rsid w:val="123D6042"/>
    <w:rsid w:val="12492C39"/>
    <w:rsid w:val="12B04A66"/>
    <w:rsid w:val="12C10A21"/>
    <w:rsid w:val="133751B0"/>
    <w:rsid w:val="13AB3BAB"/>
    <w:rsid w:val="13C24A51"/>
    <w:rsid w:val="13D529D6"/>
    <w:rsid w:val="143D057B"/>
    <w:rsid w:val="14522278"/>
    <w:rsid w:val="145A2EDB"/>
    <w:rsid w:val="148B12E6"/>
    <w:rsid w:val="148D505F"/>
    <w:rsid w:val="14D56A06"/>
    <w:rsid w:val="152D239E"/>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46E1B"/>
    <w:rsid w:val="18AC5CCF"/>
    <w:rsid w:val="18F27B86"/>
    <w:rsid w:val="190653E0"/>
    <w:rsid w:val="193B777F"/>
    <w:rsid w:val="19461C80"/>
    <w:rsid w:val="196A0064"/>
    <w:rsid w:val="19B4308D"/>
    <w:rsid w:val="1A023DF9"/>
    <w:rsid w:val="1A0E6C42"/>
    <w:rsid w:val="1B012302"/>
    <w:rsid w:val="1B1A7868"/>
    <w:rsid w:val="1B5C1C2F"/>
    <w:rsid w:val="1B5C578B"/>
    <w:rsid w:val="1B7E5B89"/>
    <w:rsid w:val="1B972C67"/>
    <w:rsid w:val="1BA17641"/>
    <w:rsid w:val="1BD47A17"/>
    <w:rsid w:val="1BDB0DA5"/>
    <w:rsid w:val="1C3D736A"/>
    <w:rsid w:val="1C5D5C5E"/>
    <w:rsid w:val="1C76287C"/>
    <w:rsid w:val="1C7D3D43"/>
    <w:rsid w:val="1CB67FC3"/>
    <w:rsid w:val="1CC67A36"/>
    <w:rsid w:val="1CD50AE4"/>
    <w:rsid w:val="1CDF6673"/>
    <w:rsid w:val="1CFF2872"/>
    <w:rsid w:val="1D13631D"/>
    <w:rsid w:val="1D303373"/>
    <w:rsid w:val="1D456C27"/>
    <w:rsid w:val="1DAA4ED3"/>
    <w:rsid w:val="1DAC1331"/>
    <w:rsid w:val="1DE136C7"/>
    <w:rsid w:val="1DFD1C32"/>
    <w:rsid w:val="1E37603B"/>
    <w:rsid w:val="1E990AA4"/>
    <w:rsid w:val="1EA14EF1"/>
    <w:rsid w:val="1EDA3596"/>
    <w:rsid w:val="1F0A02A3"/>
    <w:rsid w:val="1F49071C"/>
    <w:rsid w:val="1F4B7FF0"/>
    <w:rsid w:val="1F5A46D7"/>
    <w:rsid w:val="1FAA11BB"/>
    <w:rsid w:val="1FBF453A"/>
    <w:rsid w:val="1FD004F5"/>
    <w:rsid w:val="20A976C4"/>
    <w:rsid w:val="20FD356C"/>
    <w:rsid w:val="21294361"/>
    <w:rsid w:val="215A451A"/>
    <w:rsid w:val="21635AC5"/>
    <w:rsid w:val="21C347B6"/>
    <w:rsid w:val="21C45C2A"/>
    <w:rsid w:val="21D70C81"/>
    <w:rsid w:val="21E8421C"/>
    <w:rsid w:val="221C3EC6"/>
    <w:rsid w:val="225304F1"/>
    <w:rsid w:val="226C6BFB"/>
    <w:rsid w:val="227710FC"/>
    <w:rsid w:val="22A5210D"/>
    <w:rsid w:val="22A55C69"/>
    <w:rsid w:val="22C205C9"/>
    <w:rsid w:val="22CF2CE6"/>
    <w:rsid w:val="23447230"/>
    <w:rsid w:val="235356C5"/>
    <w:rsid w:val="23CA4816"/>
    <w:rsid w:val="23F24EDE"/>
    <w:rsid w:val="24150BCD"/>
    <w:rsid w:val="243C084F"/>
    <w:rsid w:val="24466FD8"/>
    <w:rsid w:val="24661428"/>
    <w:rsid w:val="248D27F1"/>
    <w:rsid w:val="253B0B07"/>
    <w:rsid w:val="2540611D"/>
    <w:rsid w:val="254E4396"/>
    <w:rsid w:val="25565941"/>
    <w:rsid w:val="25F0544D"/>
    <w:rsid w:val="26437C73"/>
    <w:rsid w:val="2650413E"/>
    <w:rsid w:val="26720558"/>
    <w:rsid w:val="269B7AAF"/>
    <w:rsid w:val="26B20955"/>
    <w:rsid w:val="27167A8B"/>
    <w:rsid w:val="273F48DE"/>
    <w:rsid w:val="27910EB2"/>
    <w:rsid w:val="27D41477"/>
    <w:rsid w:val="27E47234"/>
    <w:rsid w:val="281318C7"/>
    <w:rsid w:val="284101E2"/>
    <w:rsid w:val="286D0FD7"/>
    <w:rsid w:val="287E31E4"/>
    <w:rsid w:val="288D3427"/>
    <w:rsid w:val="28A95D87"/>
    <w:rsid w:val="29226266"/>
    <w:rsid w:val="29341AF5"/>
    <w:rsid w:val="294F692F"/>
    <w:rsid w:val="29673C78"/>
    <w:rsid w:val="29713F9E"/>
    <w:rsid w:val="29DD03DE"/>
    <w:rsid w:val="2A111E36"/>
    <w:rsid w:val="2A612DBE"/>
    <w:rsid w:val="2AA66A22"/>
    <w:rsid w:val="2ACA0963"/>
    <w:rsid w:val="2AD76BDC"/>
    <w:rsid w:val="2AFC2AE6"/>
    <w:rsid w:val="2B6B3768"/>
    <w:rsid w:val="2B944ACD"/>
    <w:rsid w:val="2BD17ACF"/>
    <w:rsid w:val="2BDB26FC"/>
    <w:rsid w:val="2BE94E19"/>
    <w:rsid w:val="2C1D2D14"/>
    <w:rsid w:val="2CC47634"/>
    <w:rsid w:val="2CC77538"/>
    <w:rsid w:val="2CFF241A"/>
    <w:rsid w:val="2D430559"/>
    <w:rsid w:val="2D6A3D37"/>
    <w:rsid w:val="2D964B2C"/>
    <w:rsid w:val="2DAD00C8"/>
    <w:rsid w:val="2DC72F38"/>
    <w:rsid w:val="2DE97352"/>
    <w:rsid w:val="2E2E1209"/>
    <w:rsid w:val="2E47051C"/>
    <w:rsid w:val="2E580034"/>
    <w:rsid w:val="2E627104"/>
    <w:rsid w:val="2E921798"/>
    <w:rsid w:val="2EDA32F0"/>
    <w:rsid w:val="2F155F25"/>
    <w:rsid w:val="2F176141"/>
    <w:rsid w:val="2F210D6D"/>
    <w:rsid w:val="2F285C58"/>
    <w:rsid w:val="2F6D7B0F"/>
    <w:rsid w:val="2FBE480E"/>
    <w:rsid w:val="2FD962A4"/>
    <w:rsid w:val="30073ABF"/>
    <w:rsid w:val="30314FE0"/>
    <w:rsid w:val="305D7B83"/>
    <w:rsid w:val="30F71D86"/>
    <w:rsid w:val="315E0057"/>
    <w:rsid w:val="31684A32"/>
    <w:rsid w:val="320C360F"/>
    <w:rsid w:val="3239017C"/>
    <w:rsid w:val="324A2389"/>
    <w:rsid w:val="324C4353"/>
    <w:rsid w:val="32584AA6"/>
    <w:rsid w:val="3260395B"/>
    <w:rsid w:val="3268280F"/>
    <w:rsid w:val="328F5FEE"/>
    <w:rsid w:val="32D81743"/>
    <w:rsid w:val="330B1B18"/>
    <w:rsid w:val="33185FE3"/>
    <w:rsid w:val="333170A5"/>
    <w:rsid w:val="333D5A4A"/>
    <w:rsid w:val="33CF2B46"/>
    <w:rsid w:val="343E5F1E"/>
    <w:rsid w:val="34473024"/>
    <w:rsid w:val="346F60D7"/>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0C2687"/>
    <w:rsid w:val="372431A9"/>
    <w:rsid w:val="373F4487"/>
    <w:rsid w:val="37537F32"/>
    <w:rsid w:val="37623CD1"/>
    <w:rsid w:val="37667C65"/>
    <w:rsid w:val="377C4D93"/>
    <w:rsid w:val="377D6D5D"/>
    <w:rsid w:val="379C71E3"/>
    <w:rsid w:val="37AC319E"/>
    <w:rsid w:val="37CD1A92"/>
    <w:rsid w:val="3814321D"/>
    <w:rsid w:val="38327B47"/>
    <w:rsid w:val="384C6E5B"/>
    <w:rsid w:val="38657F1D"/>
    <w:rsid w:val="38961E84"/>
    <w:rsid w:val="38B247E4"/>
    <w:rsid w:val="38CD161E"/>
    <w:rsid w:val="390A4620"/>
    <w:rsid w:val="391334D5"/>
    <w:rsid w:val="391D25A6"/>
    <w:rsid w:val="39382F3B"/>
    <w:rsid w:val="39785A2E"/>
    <w:rsid w:val="398B5761"/>
    <w:rsid w:val="39930ABA"/>
    <w:rsid w:val="39A131D7"/>
    <w:rsid w:val="39B051C8"/>
    <w:rsid w:val="39C40C73"/>
    <w:rsid w:val="39D569DC"/>
    <w:rsid w:val="39E210F9"/>
    <w:rsid w:val="39F5707E"/>
    <w:rsid w:val="3A255BB6"/>
    <w:rsid w:val="3A663AD8"/>
    <w:rsid w:val="3A6A181A"/>
    <w:rsid w:val="3A886145"/>
    <w:rsid w:val="3AEA64B7"/>
    <w:rsid w:val="3B2D45F6"/>
    <w:rsid w:val="3B5129DA"/>
    <w:rsid w:val="3B514788"/>
    <w:rsid w:val="3B714E2B"/>
    <w:rsid w:val="3B781D15"/>
    <w:rsid w:val="3B9052B1"/>
    <w:rsid w:val="3C017F5D"/>
    <w:rsid w:val="3C522566"/>
    <w:rsid w:val="3CBF1EF8"/>
    <w:rsid w:val="3D0E5EAE"/>
    <w:rsid w:val="3D0F2205"/>
    <w:rsid w:val="3D26209C"/>
    <w:rsid w:val="3D436353"/>
    <w:rsid w:val="3D477BF1"/>
    <w:rsid w:val="3D69400B"/>
    <w:rsid w:val="3DBA03C3"/>
    <w:rsid w:val="3DD516A1"/>
    <w:rsid w:val="3DEE4511"/>
    <w:rsid w:val="3E1877DF"/>
    <w:rsid w:val="3EE80F60"/>
    <w:rsid w:val="3EEF22EE"/>
    <w:rsid w:val="3F827606"/>
    <w:rsid w:val="3FCE0156"/>
    <w:rsid w:val="401F09B1"/>
    <w:rsid w:val="40685370"/>
    <w:rsid w:val="4081341A"/>
    <w:rsid w:val="40D479EE"/>
    <w:rsid w:val="40DE135D"/>
    <w:rsid w:val="40F97454"/>
    <w:rsid w:val="41067A9A"/>
    <w:rsid w:val="410A1661"/>
    <w:rsid w:val="41110C42"/>
    <w:rsid w:val="418D5DEE"/>
    <w:rsid w:val="41AE46E3"/>
    <w:rsid w:val="41B33AA7"/>
    <w:rsid w:val="41C23CEA"/>
    <w:rsid w:val="41D81760"/>
    <w:rsid w:val="42226223"/>
    <w:rsid w:val="426D00FA"/>
    <w:rsid w:val="428C42F8"/>
    <w:rsid w:val="42997141"/>
    <w:rsid w:val="42B75819"/>
    <w:rsid w:val="42BA70B7"/>
    <w:rsid w:val="42DE4B54"/>
    <w:rsid w:val="42E67EAC"/>
    <w:rsid w:val="42F97BDF"/>
    <w:rsid w:val="430420E0"/>
    <w:rsid w:val="43167462"/>
    <w:rsid w:val="432B58BF"/>
    <w:rsid w:val="43882D11"/>
    <w:rsid w:val="43B65AD0"/>
    <w:rsid w:val="43C04259"/>
    <w:rsid w:val="43F14BBE"/>
    <w:rsid w:val="43FD36FF"/>
    <w:rsid w:val="440E3217"/>
    <w:rsid w:val="448B0D0B"/>
    <w:rsid w:val="44BF2763"/>
    <w:rsid w:val="45034D45"/>
    <w:rsid w:val="457C0654"/>
    <w:rsid w:val="459736E0"/>
    <w:rsid w:val="45B147A1"/>
    <w:rsid w:val="45F14B9E"/>
    <w:rsid w:val="4690085B"/>
    <w:rsid w:val="469A48DC"/>
    <w:rsid w:val="46DF70EC"/>
    <w:rsid w:val="46FA5CD4"/>
    <w:rsid w:val="47042BC4"/>
    <w:rsid w:val="472F1E22"/>
    <w:rsid w:val="47543EB9"/>
    <w:rsid w:val="476F66C2"/>
    <w:rsid w:val="47743CD8"/>
    <w:rsid w:val="47925F0D"/>
    <w:rsid w:val="47B70069"/>
    <w:rsid w:val="47D227AD"/>
    <w:rsid w:val="48027536"/>
    <w:rsid w:val="48054931"/>
    <w:rsid w:val="48537D92"/>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C0426"/>
    <w:rsid w:val="4B2E0642"/>
    <w:rsid w:val="4B4518DD"/>
    <w:rsid w:val="4B683B54"/>
    <w:rsid w:val="4BDF36EB"/>
    <w:rsid w:val="4BE156B5"/>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834801"/>
    <w:rsid w:val="4EA948EE"/>
    <w:rsid w:val="4EB26E94"/>
    <w:rsid w:val="4F11005F"/>
    <w:rsid w:val="4F701229"/>
    <w:rsid w:val="4F754A92"/>
    <w:rsid w:val="4F8C5937"/>
    <w:rsid w:val="50294201"/>
    <w:rsid w:val="503264DF"/>
    <w:rsid w:val="503F29AA"/>
    <w:rsid w:val="505428F9"/>
    <w:rsid w:val="50760AC1"/>
    <w:rsid w:val="50C35389"/>
    <w:rsid w:val="50C86E43"/>
    <w:rsid w:val="50CD6207"/>
    <w:rsid w:val="50E023DF"/>
    <w:rsid w:val="510C4F82"/>
    <w:rsid w:val="514364CA"/>
    <w:rsid w:val="51764AF1"/>
    <w:rsid w:val="51A52CE0"/>
    <w:rsid w:val="51BB2504"/>
    <w:rsid w:val="51D6733E"/>
    <w:rsid w:val="51DF2696"/>
    <w:rsid w:val="52100AA2"/>
    <w:rsid w:val="52416EAD"/>
    <w:rsid w:val="52EA4E4F"/>
    <w:rsid w:val="52F537F4"/>
    <w:rsid w:val="53195734"/>
    <w:rsid w:val="533B7DA0"/>
    <w:rsid w:val="539227A8"/>
    <w:rsid w:val="53B86CFB"/>
    <w:rsid w:val="53C658BC"/>
    <w:rsid w:val="53D004E8"/>
    <w:rsid w:val="53E21FCA"/>
    <w:rsid w:val="53F00B8B"/>
    <w:rsid w:val="541859EC"/>
    <w:rsid w:val="54324CFF"/>
    <w:rsid w:val="54520EFE"/>
    <w:rsid w:val="54576514"/>
    <w:rsid w:val="549534E0"/>
    <w:rsid w:val="54B576DE"/>
    <w:rsid w:val="54D95F81"/>
    <w:rsid w:val="54DC2EBD"/>
    <w:rsid w:val="54EF2BF0"/>
    <w:rsid w:val="54F2448F"/>
    <w:rsid w:val="54FB77E7"/>
    <w:rsid w:val="550C0C23"/>
    <w:rsid w:val="552A59D6"/>
    <w:rsid w:val="55652EB2"/>
    <w:rsid w:val="557430F6"/>
    <w:rsid w:val="55833339"/>
    <w:rsid w:val="55E4027B"/>
    <w:rsid w:val="56224B5D"/>
    <w:rsid w:val="56336B0D"/>
    <w:rsid w:val="564F7575"/>
    <w:rsid w:val="56860AE0"/>
    <w:rsid w:val="56AE2637"/>
    <w:rsid w:val="56D71B8E"/>
    <w:rsid w:val="56EA7B13"/>
    <w:rsid w:val="571406EC"/>
    <w:rsid w:val="573214BA"/>
    <w:rsid w:val="573963A5"/>
    <w:rsid w:val="57A74D3D"/>
    <w:rsid w:val="58247055"/>
    <w:rsid w:val="5847689F"/>
    <w:rsid w:val="58562F86"/>
    <w:rsid w:val="585B234B"/>
    <w:rsid w:val="588B0E82"/>
    <w:rsid w:val="58C47EF0"/>
    <w:rsid w:val="58C83E84"/>
    <w:rsid w:val="59044790"/>
    <w:rsid w:val="59B47F65"/>
    <w:rsid w:val="59BA0A98"/>
    <w:rsid w:val="59CC1752"/>
    <w:rsid w:val="5A04713E"/>
    <w:rsid w:val="5A2275C4"/>
    <w:rsid w:val="5A7D47FA"/>
    <w:rsid w:val="5A875679"/>
    <w:rsid w:val="5A89319F"/>
    <w:rsid w:val="5A9D4E9D"/>
    <w:rsid w:val="5AC93EE4"/>
    <w:rsid w:val="5ACC1F22"/>
    <w:rsid w:val="5ACC4C63"/>
    <w:rsid w:val="5B0647F0"/>
    <w:rsid w:val="5B6D2AC1"/>
    <w:rsid w:val="5BC36B85"/>
    <w:rsid w:val="5C4F7E50"/>
    <w:rsid w:val="5C5A1297"/>
    <w:rsid w:val="5C69772C"/>
    <w:rsid w:val="5C6E089F"/>
    <w:rsid w:val="5C907F6B"/>
    <w:rsid w:val="5C9B365E"/>
    <w:rsid w:val="5CC2508E"/>
    <w:rsid w:val="5CC6692D"/>
    <w:rsid w:val="5CE96177"/>
    <w:rsid w:val="5D244ED9"/>
    <w:rsid w:val="5DD010E5"/>
    <w:rsid w:val="5DEB5F1F"/>
    <w:rsid w:val="5E7F38DC"/>
    <w:rsid w:val="5EA507C4"/>
    <w:rsid w:val="5EDD61AF"/>
    <w:rsid w:val="5EF05EE3"/>
    <w:rsid w:val="5F3202A9"/>
    <w:rsid w:val="5F3758C0"/>
    <w:rsid w:val="5F557AF4"/>
    <w:rsid w:val="5F6465CB"/>
    <w:rsid w:val="5F942D12"/>
    <w:rsid w:val="5FA97E40"/>
    <w:rsid w:val="60065292"/>
    <w:rsid w:val="603F2E02"/>
    <w:rsid w:val="60561D75"/>
    <w:rsid w:val="606C3347"/>
    <w:rsid w:val="607C7302"/>
    <w:rsid w:val="609D5BF6"/>
    <w:rsid w:val="60C211B9"/>
    <w:rsid w:val="60D22253"/>
    <w:rsid w:val="60D84E80"/>
    <w:rsid w:val="611C2FBF"/>
    <w:rsid w:val="613A3445"/>
    <w:rsid w:val="61616C24"/>
    <w:rsid w:val="618446C0"/>
    <w:rsid w:val="61B4001A"/>
    <w:rsid w:val="61D07906"/>
    <w:rsid w:val="62126170"/>
    <w:rsid w:val="626C2488"/>
    <w:rsid w:val="62AC2121"/>
    <w:rsid w:val="63091321"/>
    <w:rsid w:val="635A392B"/>
    <w:rsid w:val="6381535B"/>
    <w:rsid w:val="63870498"/>
    <w:rsid w:val="638B61DA"/>
    <w:rsid w:val="63A86D8C"/>
    <w:rsid w:val="63AC7EFE"/>
    <w:rsid w:val="63E40462"/>
    <w:rsid w:val="643A375C"/>
    <w:rsid w:val="64462101"/>
    <w:rsid w:val="64487C27"/>
    <w:rsid w:val="64634A61"/>
    <w:rsid w:val="648C045C"/>
    <w:rsid w:val="648D7D30"/>
    <w:rsid w:val="651144BD"/>
    <w:rsid w:val="65510D5D"/>
    <w:rsid w:val="65640A91"/>
    <w:rsid w:val="656B62C3"/>
    <w:rsid w:val="65A949C0"/>
    <w:rsid w:val="65AA7DC8"/>
    <w:rsid w:val="65B17A4E"/>
    <w:rsid w:val="66173D55"/>
    <w:rsid w:val="665C35D6"/>
    <w:rsid w:val="66763171"/>
    <w:rsid w:val="669058B5"/>
    <w:rsid w:val="66974E96"/>
    <w:rsid w:val="66C43EFD"/>
    <w:rsid w:val="66D25ECE"/>
    <w:rsid w:val="66F67E0E"/>
    <w:rsid w:val="67185FD7"/>
    <w:rsid w:val="67397CFB"/>
    <w:rsid w:val="675608AD"/>
    <w:rsid w:val="67AA3EF1"/>
    <w:rsid w:val="67BF3E48"/>
    <w:rsid w:val="67D30150"/>
    <w:rsid w:val="67EE4F89"/>
    <w:rsid w:val="68123593"/>
    <w:rsid w:val="685F7C35"/>
    <w:rsid w:val="68A45648"/>
    <w:rsid w:val="68BF08FC"/>
    <w:rsid w:val="69117181"/>
    <w:rsid w:val="6933534A"/>
    <w:rsid w:val="693370F8"/>
    <w:rsid w:val="694A4441"/>
    <w:rsid w:val="6985134D"/>
    <w:rsid w:val="69EC72A7"/>
    <w:rsid w:val="69F83E9D"/>
    <w:rsid w:val="6A18009C"/>
    <w:rsid w:val="6A8614A9"/>
    <w:rsid w:val="6AA03474"/>
    <w:rsid w:val="6ACA3A8C"/>
    <w:rsid w:val="6AF723A7"/>
    <w:rsid w:val="6B0D5727"/>
    <w:rsid w:val="6B9D2F4E"/>
    <w:rsid w:val="6BBB1626"/>
    <w:rsid w:val="6C0703C8"/>
    <w:rsid w:val="6C272818"/>
    <w:rsid w:val="6C276CBC"/>
    <w:rsid w:val="6C924135"/>
    <w:rsid w:val="6CB26586"/>
    <w:rsid w:val="6D0D3FE0"/>
    <w:rsid w:val="6D8714E4"/>
    <w:rsid w:val="6DAE1443"/>
    <w:rsid w:val="6DC93FB0"/>
    <w:rsid w:val="6DCF4F15"/>
    <w:rsid w:val="6E0F17B6"/>
    <w:rsid w:val="6E681AD6"/>
    <w:rsid w:val="6EF74724"/>
    <w:rsid w:val="6F12155D"/>
    <w:rsid w:val="6F3F60CB"/>
    <w:rsid w:val="6F525DFE"/>
    <w:rsid w:val="6F881820"/>
    <w:rsid w:val="6FB97C2B"/>
    <w:rsid w:val="6FD40F09"/>
    <w:rsid w:val="700D682A"/>
    <w:rsid w:val="704240C4"/>
    <w:rsid w:val="70932B72"/>
    <w:rsid w:val="711E06E8"/>
    <w:rsid w:val="71D074AE"/>
    <w:rsid w:val="71EF5B86"/>
    <w:rsid w:val="72007D93"/>
    <w:rsid w:val="72031631"/>
    <w:rsid w:val="72514A93"/>
    <w:rsid w:val="727A5D97"/>
    <w:rsid w:val="727B38BE"/>
    <w:rsid w:val="729F75AC"/>
    <w:rsid w:val="72AB015D"/>
    <w:rsid w:val="72B41B7E"/>
    <w:rsid w:val="72F35B4A"/>
    <w:rsid w:val="72FA0C86"/>
    <w:rsid w:val="73133AF6"/>
    <w:rsid w:val="732F5A65"/>
    <w:rsid w:val="736B3932"/>
    <w:rsid w:val="73AA26AC"/>
    <w:rsid w:val="73AF381F"/>
    <w:rsid w:val="73F12089"/>
    <w:rsid w:val="740873D3"/>
    <w:rsid w:val="740F250F"/>
    <w:rsid w:val="7436113E"/>
    <w:rsid w:val="746960C4"/>
    <w:rsid w:val="74793E2D"/>
    <w:rsid w:val="74856C75"/>
    <w:rsid w:val="74F74974"/>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4E7290"/>
    <w:rsid w:val="776B5CAF"/>
    <w:rsid w:val="77B07B65"/>
    <w:rsid w:val="77E3618D"/>
    <w:rsid w:val="782F4F2E"/>
    <w:rsid w:val="783F0EE9"/>
    <w:rsid w:val="79246A5D"/>
    <w:rsid w:val="79563C5E"/>
    <w:rsid w:val="797F5A41"/>
    <w:rsid w:val="79FE17EB"/>
    <w:rsid w:val="7A0B3779"/>
    <w:rsid w:val="7A2D36EF"/>
    <w:rsid w:val="7A304F8E"/>
    <w:rsid w:val="7A794B87"/>
    <w:rsid w:val="7ABD0F17"/>
    <w:rsid w:val="7AE00762"/>
    <w:rsid w:val="7AE71AF0"/>
    <w:rsid w:val="7AEA338E"/>
    <w:rsid w:val="7AEA7832"/>
    <w:rsid w:val="7B16338B"/>
    <w:rsid w:val="7B25086A"/>
    <w:rsid w:val="7B4707E1"/>
    <w:rsid w:val="7B7535A0"/>
    <w:rsid w:val="7B937ECA"/>
    <w:rsid w:val="7BEE6EAE"/>
    <w:rsid w:val="7C10151B"/>
    <w:rsid w:val="7C66113B"/>
    <w:rsid w:val="7C686C61"/>
    <w:rsid w:val="7C8617DD"/>
    <w:rsid w:val="7C9F63FA"/>
    <w:rsid w:val="7CB71996"/>
    <w:rsid w:val="7CBB76D8"/>
    <w:rsid w:val="7CC0084B"/>
    <w:rsid w:val="7CDE5175"/>
    <w:rsid w:val="7D0746CC"/>
    <w:rsid w:val="7D20578D"/>
    <w:rsid w:val="7D2A660C"/>
    <w:rsid w:val="7D2D1C58"/>
    <w:rsid w:val="7D450D50"/>
    <w:rsid w:val="7D52346D"/>
    <w:rsid w:val="7DA97531"/>
    <w:rsid w:val="7E002EC9"/>
    <w:rsid w:val="7E10135E"/>
    <w:rsid w:val="7E2968C4"/>
    <w:rsid w:val="7E3F612C"/>
    <w:rsid w:val="7E417769"/>
    <w:rsid w:val="7E723DC7"/>
    <w:rsid w:val="7E851D4C"/>
    <w:rsid w:val="7E8A7362"/>
    <w:rsid w:val="7EBC3294"/>
    <w:rsid w:val="7EDE76AE"/>
    <w:rsid w:val="7EEF18BB"/>
    <w:rsid w:val="7EF26CB5"/>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6"/>
    <w:autoRedefine/>
    <w:qFormat/>
    <w:uiPriority w:val="1"/>
    <w:pPr>
      <w:spacing w:before="7"/>
      <w:ind w:left="148"/>
      <w:jc w:val="left"/>
      <w:outlineLvl w:val="3"/>
    </w:pPr>
    <w:rPr>
      <w:rFonts w:ascii="宋体" w:hAnsi="宋体"/>
      <w:b/>
      <w:bCs/>
      <w:kern w:val="0"/>
      <w:lang w:eastAsia="en-US"/>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Body Text"/>
    <w:basedOn w:val="1"/>
    <w:link w:val="17"/>
    <w:autoRedefine/>
    <w:qFormat/>
    <w:uiPriority w:val="0"/>
    <w:pPr>
      <w:snapToGrid w:val="0"/>
      <w:spacing w:line="440" w:lineRule="exact"/>
    </w:pPr>
    <w:rPr>
      <w:rFonts w:ascii="宋体" w:hAnsi="宋体"/>
      <w:color w:val="FF0000"/>
      <w:sz w:val="18"/>
    </w:rPr>
  </w:style>
  <w:style w:type="paragraph" w:styleId="5">
    <w:name w:val="Plain Text"/>
    <w:basedOn w:val="1"/>
    <w:autoRedefine/>
    <w:qFormat/>
    <w:uiPriority w:val="0"/>
    <w:rPr>
      <w:rFonts w:ascii="宋体" w:hAnsi="Courier New" w:cs="Courier New"/>
    </w:rPr>
  </w:style>
  <w:style w:type="paragraph" w:styleId="6">
    <w:name w:val="Balloon Text"/>
    <w:basedOn w:val="1"/>
    <w:link w:val="20"/>
    <w:autoRedefine/>
    <w:semiHidden/>
    <w:unhideWhenUsed/>
    <w:qFormat/>
    <w:uiPriority w:val="99"/>
    <w:rPr>
      <w:sz w:val="18"/>
      <w:szCs w:val="18"/>
    </w:rPr>
  </w:style>
  <w:style w:type="paragraph" w:styleId="7">
    <w:name w:val="footer"/>
    <w:basedOn w:val="1"/>
    <w:link w:val="15"/>
    <w:autoRedefine/>
    <w:unhideWhenUsed/>
    <w:qFormat/>
    <w:uiPriority w:val="99"/>
    <w:pPr>
      <w:tabs>
        <w:tab w:val="center" w:pos="4153"/>
        <w:tab w:val="right" w:pos="8306"/>
      </w:tabs>
      <w:snapToGrid w:val="0"/>
      <w:jc w:val="left"/>
    </w:pPr>
    <w:rPr>
      <w:sz w:val="18"/>
      <w:szCs w:val="18"/>
    </w:rPr>
  </w:style>
  <w:style w:type="paragraph" w:styleId="8">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autoRedefine/>
    <w:qFormat/>
    <w:uiPriority w:val="0"/>
    <w:pPr>
      <w:jc w:val="center"/>
      <w:outlineLvl w:val="0"/>
    </w:pPr>
    <w:rPr>
      <w:rFonts w:ascii="Arial" w:hAnsi="Arial"/>
      <w:b/>
      <w:sz w:val="32"/>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99"/>
  </w:style>
  <w:style w:type="character" w:customStyle="1" w:styleId="14">
    <w:name w:val="页眉 Char"/>
    <w:basedOn w:val="12"/>
    <w:link w:val="8"/>
    <w:autoRedefine/>
    <w:qFormat/>
    <w:uiPriority w:val="0"/>
    <w:rPr>
      <w:sz w:val="18"/>
      <w:szCs w:val="18"/>
    </w:rPr>
  </w:style>
  <w:style w:type="character" w:customStyle="1" w:styleId="15">
    <w:name w:val="页脚 Char"/>
    <w:basedOn w:val="12"/>
    <w:link w:val="7"/>
    <w:autoRedefine/>
    <w:semiHidden/>
    <w:qFormat/>
    <w:uiPriority w:val="99"/>
    <w:rPr>
      <w:sz w:val="18"/>
      <w:szCs w:val="18"/>
    </w:rPr>
  </w:style>
  <w:style w:type="character" w:customStyle="1" w:styleId="16">
    <w:name w:val="标题 4 Char"/>
    <w:basedOn w:val="12"/>
    <w:link w:val="2"/>
    <w:autoRedefine/>
    <w:qFormat/>
    <w:uiPriority w:val="1"/>
    <w:rPr>
      <w:rFonts w:ascii="宋体" w:hAnsi="宋体" w:eastAsia="宋体" w:cs="Times New Roman"/>
      <w:b/>
      <w:bCs/>
      <w:kern w:val="0"/>
      <w:szCs w:val="21"/>
      <w:lang w:eastAsia="en-US"/>
    </w:rPr>
  </w:style>
  <w:style w:type="character" w:customStyle="1" w:styleId="17">
    <w:name w:val="正文文本 Char"/>
    <w:basedOn w:val="12"/>
    <w:link w:val="4"/>
    <w:autoRedefine/>
    <w:qFormat/>
    <w:uiPriority w:val="0"/>
    <w:rPr>
      <w:rFonts w:ascii="宋体" w:hAnsi="宋体" w:eastAsia="宋体" w:cs="Times New Roman"/>
      <w:color w:val="FF0000"/>
      <w:sz w:val="18"/>
      <w:szCs w:val="21"/>
    </w:rPr>
  </w:style>
  <w:style w:type="paragraph" w:customStyle="1" w:styleId="18">
    <w:name w:val="Table Paragraph"/>
    <w:basedOn w:val="1"/>
    <w:autoRedefine/>
    <w:qFormat/>
    <w:uiPriority w:val="1"/>
    <w:pPr>
      <w:jc w:val="left"/>
    </w:pPr>
    <w:rPr>
      <w:rFonts w:ascii="Calibri" w:hAnsi="Calibri"/>
      <w:kern w:val="0"/>
      <w:sz w:val="22"/>
      <w:szCs w:val="22"/>
      <w:lang w:eastAsia="en-US"/>
    </w:rPr>
  </w:style>
  <w:style w:type="paragraph" w:customStyle="1" w:styleId="19">
    <w:name w:val="列出段落4"/>
    <w:basedOn w:val="1"/>
    <w:autoRedefine/>
    <w:qFormat/>
    <w:uiPriority w:val="99"/>
    <w:pPr>
      <w:ind w:firstLine="420" w:firstLineChars="200"/>
    </w:pPr>
    <w:rPr>
      <w:rFonts w:ascii="Calibri" w:hAnsi="Calibri" w:cs="Calibri"/>
    </w:rPr>
  </w:style>
  <w:style w:type="character" w:customStyle="1" w:styleId="20">
    <w:name w:val="批注框文本 Char"/>
    <w:basedOn w:val="12"/>
    <w:link w:val="6"/>
    <w:autoRedefine/>
    <w:semiHidden/>
    <w:qFormat/>
    <w:uiPriority w:val="99"/>
    <w:rPr>
      <w:rFonts w:ascii="Times New Roman" w:hAnsi="Times New Roman" w:eastAsia="宋体" w:cs="Times New Roman"/>
      <w:sz w:val="18"/>
      <w:szCs w:val="18"/>
    </w:rPr>
  </w:style>
  <w:style w:type="character" w:customStyle="1" w:styleId="21">
    <w:name w:val="font21"/>
    <w:basedOn w:val="12"/>
    <w:autoRedefine/>
    <w:qFormat/>
    <w:uiPriority w:val="0"/>
    <w:rPr>
      <w:rFonts w:hint="eastAsia" w:ascii="宋体" w:hAnsi="宋体" w:eastAsia="宋体" w:cs="宋体"/>
      <w:color w:val="000000"/>
      <w:sz w:val="24"/>
      <w:szCs w:val="24"/>
      <w:u w:val="none"/>
    </w:rPr>
  </w:style>
  <w:style w:type="character" w:customStyle="1" w:styleId="22">
    <w:name w:val="font31"/>
    <w:basedOn w:val="12"/>
    <w:autoRedefine/>
    <w:qFormat/>
    <w:uiPriority w:val="0"/>
    <w:rPr>
      <w:rFonts w:hint="eastAsia" w:ascii="宋体" w:hAnsi="宋体" w:eastAsia="宋体" w:cs="宋体"/>
      <w:color w:val="000000"/>
      <w:sz w:val="24"/>
      <w:szCs w:val="24"/>
      <w:u w:val="none"/>
    </w:rPr>
  </w:style>
  <w:style w:type="paragraph" w:customStyle="1" w:styleId="23">
    <w:name w:val="样式 首行缩进:  2 字符"/>
    <w:basedOn w:val="1"/>
    <w:qFormat/>
    <w:uiPriority w:val="0"/>
    <w:pPr>
      <w:spacing w:line="360" w:lineRule="auto"/>
      <w:ind w:firstLine="480" w:firstLineChars="200"/>
      <w:jc w:val="left"/>
    </w:pPr>
    <w:rPr>
      <w:rFonts w:ascii="宋体" w:hAnsi="宋体" w:cs="宋体"/>
      <w:color w:val="00000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1278</Words>
  <Characters>1437</Characters>
  <Lines>12</Lines>
  <Paragraphs>3</Paragraphs>
  <TotalTime>0</TotalTime>
  <ScaleCrop>false</ScaleCrop>
  <LinksUpToDate>false</LinksUpToDate>
  <CharactersWithSpaces>1482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2025-04-01T01:56:01Z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