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裕安区</w:t>
      </w:r>
      <w:r>
        <w:rPr>
          <w:rFonts w:hint="eastAsia" w:ascii="宋体" w:hAnsi="宋体"/>
          <w:b/>
          <w:sz w:val="36"/>
          <w:szCs w:val="36"/>
          <w:lang w:val="en-US" w:eastAsia="zh-CN"/>
        </w:rPr>
        <w:t>石板冲乡人民政府</w:t>
      </w:r>
      <w:r>
        <w:rPr>
          <w:rFonts w:hint="eastAsia" w:ascii="宋体" w:hAnsi="宋体"/>
          <w:b/>
          <w:sz w:val="36"/>
          <w:szCs w:val="36"/>
        </w:rPr>
        <w:t>2023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rPr>
        <w:t xml:space="preserve">    一、2023年度一般公共预算财政拨款“三公”经费支出决算表</w:t>
      </w:r>
    </w:p>
    <w:p>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11"/>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14.35</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13.11</w:t>
            </w:r>
            <w:r>
              <w:rPr>
                <w:rFonts w:hint="eastAsia" w:ascii="宋体" w:hAnsi="宋体" w:cs="宋体"/>
                <w:b/>
                <w:bCs/>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8.90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8.16</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5.45</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4.95</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5.45</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4.95</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bl>
    <w:p>
      <w:pPr>
        <w:spacing w:line="300" w:lineRule="exact"/>
        <w:rPr>
          <w:rFonts w:hint="eastAsia" w:ascii="仿宋_GB2312" w:hAnsi="仿宋"/>
          <w:sz w:val="21"/>
          <w:szCs w:val="21"/>
        </w:rPr>
      </w:pPr>
    </w:p>
    <w:p>
      <w:pPr>
        <w:spacing w:line="300" w:lineRule="exact"/>
        <w:rPr>
          <w:rFonts w:hint="eastAsia" w:ascii="黑体" w:hAnsi="黑体" w:eastAsia="黑体"/>
          <w:szCs w:val="32"/>
        </w:rPr>
      </w:pPr>
      <w:r>
        <w:rPr>
          <w:rFonts w:hint="eastAsia" w:ascii="仿宋_GB2312" w:hAnsi="仿宋"/>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hint="eastAsia" w:ascii="楷体_GB2312" w:hAnsi="仿宋" w:eastAsia="楷体_GB2312"/>
          <w:szCs w:val="32"/>
        </w:rPr>
      </w:pPr>
      <w:r>
        <w:rPr>
          <w:rFonts w:hint="eastAsia" w:ascii="黑体" w:hAnsi="黑体" w:eastAsia="黑体"/>
          <w:szCs w:val="32"/>
        </w:rPr>
        <w:t>裕安区</w:t>
      </w:r>
      <w:r>
        <w:rPr>
          <w:rFonts w:hint="eastAsia" w:ascii="仿宋_GB2312" w:hAnsi="仿宋" w:eastAsia="黑体"/>
          <w:szCs w:val="32"/>
          <w:lang w:val="en-US" w:eastAsia="zh-CN"/>
        </w:rPr>
        <w:t>石板冲乡人民政府</w:t>
      </w:r>
      <w:r>
        <w:rPr>
          <w:rFonts w:hint="eastAsia" w:ascii="仿宋_GB2312" w:hAnsi="仿宋"/>
          <w:szCs w:val="32"/>
        </w:rPr>
        <w:t>2023年度一般公共预算财政拨款“三公”经费支出预算为</w:t>
      </w:r>
      <w:r>
        <w:rPr>
          <w:rFonts w:hint="eastAsia" w:ascii="仿宋_GB2312" w:hAnsi="仿宋"/>
          <w:szCs w:val="32"/>
          <w:lang w:val="en-US" w:eastAsia="zh-CN"/>
        </w:rPr>
        <w:t>14.35</w:t>
      </w:r>
      <w:r>
        <w:rPr>
          <w:rFonts w:hint="eastAsia" w:ascii="仿宋_GB2312" w:hAnsi="仿宋"/>
          <w:szCs w:val="32"/>
        </w:rPr>
        <w:t>万元，支出决算为</w:t>
      </w:r>
      <w:r>
        <w:rPr>
          <w:rFonts w:hint="eastAsia" w:ascii="仿宋_GB2312" w:hAnsi="仿宋"/>
          <w:szCs w:val="32"/>
          <w:lang w:val="en-US" w:eastAsia="zh-CN"/>
        </w:rPr>
        <w:t>13.11</w:t>
      </w:r>
      <w:r>
        <w:rPr>
          <w:rFonts w:hint="eastAsia" w:ascii="仿宋_GB2312" w:hAnsi="仿宋"/>
          <w:szCs w:val="32"/>
        </w:rPr>
        <w:t>万元，完成预算的</w:t>
      </w:r>
      <w:r>
        <w:rPr>
          <w:rFonts w:hint="eastAsia" w:ascii="仿宋_GB2312" w:hAnsi="仿宋"/>
          <w:szCs w:val="32"/>
          <w:lang w:val="en-US" w:eastAsia="zh-CN"/>
        </w:rPr>
        <w:t>91.4</w:t>
      </w:r>
      <w:r>
        <w:rPr>
          <w:rFonts w:hint="eastAsia" w:ascii="仿宋_GB2312" w:hAnsi="仿宋"/>
          <w:szCs w:val="32"/>
        </w:rPr>
        <w:t>%，较上年减少</w:t>
      </w:r>
      <w:r>
        <w:rPr>
          <w:rFonts w:hint="eastAsia" w:ascii="仿宋_GB2312" w:hAnsi="仿宋"/>
          <w:szCs w:val="32"/>
          <w:lang w:val="en-US" w:eastAsia="zh-CN"/>
        </w:rPr>
        <w:t>1.18</w:t>
      </w:r>
      <w:r>
        <w:rPr>
          <w:rFonts w:hint="eastAsia" w:ascii="仿宋_GB2312" w:hAnsi="仿宋"/>
          <w:szCs w:val="32"/>
        </w:rPr>
        <w:t>万元，下降</w:t>
      </w:r>
      <w:r>
        <w:rPr>
          <w:rFonts w:hint="eastAsia" w:ascii="仿宋_GB2312" w:hAnsi="仿宋"/>
          <w:szCs w:val="32"/>
          <w:lang w:val="en-US" w:eastAsia="zh-CN"/>
        </w:rPr>
        <w:t>8.3</w:t>
      </w:r>
      <w:r>
        <w:rPr>
          <w:rFonts w:hint="eastAsia" w:ascii="仿宋_GB2312" w:hAnsi="仿宋"/>
          <w:szCs w:val="32"/>
        </w:rPr>
        <w:t>%。</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严控三公经费支出</w:t>
      </w:r>
      <w:r>
        <w:rPr>
          <w:rFonts w:hint="eastAsia" w:ascii="仿宋_GB2312" w:hAnsi="仿宋"/>
          <w:color w:val="auto"/>
          <w:szCs w:val="32"/>
        </w:rPr>
        <w:t>。决算数较上年减少的主要原因是</w:t>
      </w:r>
      <w:r>
        <w:rPr>
          <w:rFonts w:hint="eastAsia" w:ascii="仿宋_GB2312" w:hAnsi="仿宋"/>
          <w:color w:val="auto"/>
          <w:szCs w:val="32"/>
          <w:lang w:val="en-US" w:eastAsia="zh-CN"/>
        </w:rPr>
        <w:t>严格执行区级压缩一般性支出规定</w:t>
      </w:r>
      <w:r>
        <w:rPr>
          <w:rFonts w:hint="eastAsia" w:ascii="仿宋_GB2312" w:hAnsi="仿宋"/>
          <w:color w:val="auto"/>
          <w:szCs w:val="32"/>
        </w:rPr>
        <w:t>。</w:t>
      </w:r>
    </w:p>
    <w:p>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hint="eastAsia" w:ascii="仿宋_GB2312" w:hAnsi="仿宋"/>
          <w:szCs w:val="32"/>
        </w:rPr>
      </w:pPr>
      <w:r>
        <w:rPr>
          <w:rFonts w:hint="eastAsia" w:ascii="黑体" w:hAnsi="黑体" w:eastAsia="黑体"/>
          <w:szCs w:val="32"/>
        </w:rPr>
        <w:t>裕安区</w:t>
      </w:r>
      <w:r>
        <w:rPr>
          <w:rFonts w:hint="eastAsia" w:ascii="仿宋_GB2312" w:hAnsi="仿宋" w:eastAsia="黑体"/>
          <w:szCs w:val="32"/>
          <w:lang w:val="en-US" w:eastAsia="zh-CN"/>
        </w:rPr>
        <w:t>石板冲乡人民政府</w:t>
      </w:r>
      <w:r>
        <w:rPr>
          <w:rFonts w:hint="eastAsia" w:ascii="仿宋_GB2312" w:hAnsi="仿宋"/>
          <w:szCs w:val="32"/>
        </w:rPr>
        <w:t>2023年度一般公共预算财政拨款“三公”经费支出决算中，因公出国（境）费支出决算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%;公务接待费支出决算</w:t>
      </w:r>
      <w:r>
        <w:rPr>
          <w:rFonts w:hint="eastAsia" w:ascii="仿宋_GB2312" w:hAnsi="仿宋"/>
          <w:szCs w:val="32"/>
          <w:lang w:val="en-US" w:eastAsia="zh-CN"/>
        </w:rPr>
        <w:t>8.16</w:t>
      </w:r>
      <w:r>
        <w:rPr>
          <w:rFonts w:hint="eastAsia" w:ascii="仿宋_GB2312" w:hAnsi="仿宋"/>
          <w:szCs w:val="32"/>
        </w:rPr>
        <w:t>万元，占</w:t>
      </w:r>
      <w:r>
        <w:rPr>
          <w:rFonts w:hint="eastAsia" w:ascii="仿宋_GB2312" w:hAnsi="仿宋"/>
          <w:szCs w:val="32"/>
          <w:lang w:val="en-US" w:eastAsia="zh-CN"/>
        </w:rPr>
        <w:t>62.2</w:t>
      </w:r>
      <w:r>
        <w:rPr>
          <w:rFonts w:hint="eastAsia" w:ascii="仿宋_GB2312" w:hAnsi="仿宋"/>
          <w:szCs w:val="32"/>
        </w:rPr>
        <w:t>%；公务用车购置及运行维护费支出决算</w:t>
      </w:r>
      <w:r>
        <w:rPr>
          <w:rFonts w:hint="eastAsia" w:ascii="仿宋_GB2312" w:hAnsi="仿宋"/>
          <w:szCs w:val="32"/>
          <w:lang w:val="en-US" w:eastAsia="zh-CN"/>
        </w:rPr>
        <w:t>4.95</w:t>
      </w:r>
      <w:r>
        <w:rPr>
          <w:rFonts w:hint="eastAsia" w:ascii="仿宋_GB2312" w:hAnsi="仿宋"/>
          <w:szCs w:val="32"/>
        </w:rPr>
        <w:t>万元，占</w:t>
      </w:r>
      <w:r>
        <w:rPr>
          <w:rFonts w:hint="eastAsia" w:ascii="仿宋_GB2312" w:hAnsi="仿宋"/>
          <w:szCs w:val="32"/>
          <w:lang w:val="en-US" w:eastAsia="zh-CN"/>
        </w:rPr>
        <w:t>37.8</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w:t>
      </w:r>
      <w:r>
        <w:rPr>
          <w:rFonts w:hint="eastAsia" w:ascii="仿宋_GB2312" w:hAnsi="仿宋"/>
          <w:szCs w:val="32"/>
          <w:lang w:val="en-US" w:eastAsia="zh-CN"/>
        </w:rPr>
        <w:t>0.00</w:t>
      </w:r>
      <w:r>
        <w:rPr>
          <w:rFonts w:hint="eastAsia" w:ascii="仿宋_GB2312" w:hAnsi="仿宋"/>
          <w:szCs w:val="32"/>
        </w:rPr>
        <w:t>万元，支出决算为</w:t>
      </w:r>
      <w:r>
        <w:rPr>
          <w:rFonts w:hint="eastAsia" w:ascii="仿宋_GB2312" w:hAnsi="仿宋"/>
          <w:szCs w:val="32"/>
          <w:lang w:val="en-US" w:eastAsia="zh-CN"/>
        </w:rPr>
        <w:t>0.00</w:t>
      </w:r>
      <w:r>
        <w:rPr>
          <w:rFonts w:hint="eastAsia" w:ascii="仿宋_GB2312" w:hAnsi="仿宋"/>
          <w:szCs w:val="32"/>
        </w:rPr>
        <w:t>万元，完成预算的</w:t>
      </w:r>
      <w:r>
        <w:rPr>
          <w:rFonts w:hint="eastAsia" w:ascii="仿宋_GB2312" w:hAnsi="仿宋"/>
          <w:szCs w:val="32"/>
          <w:lang w:val="en-US" w:eastAsia="zh-CN"/>
        </w:rPr>
        <w:t>100.0</w:t>
      </w:r>
      <w:r>
        <w:rPr>
          <w:rFonts w:hint="eastAsia" w:ascii="仿宋_GB2312" w:hAnsi="仿宋"/>
          <w:szCs w:val="32"/>
        </w:rPr>
        <w:t>%；</w:t>
      </w:r>
      <w:r>
        <w:rPr>
          <w:rFonts w:hint="eastAsia" w:ascii="仿宋_GB2312" w:hAnsi="仿宋"/>
          <w:color w:val="auto"/>
          <w:szCs w:val="32"/>
          <w:lang w:val="en-US" w:eastAsia="zh-CN"/>
        </w:rPr>
        <w:t>减少0.00万元，下降0%。原因是</w:t>
      </w:r>
      <w:r>
        <w:rPr>
          <w:rFonts w:hint="eastAsia" w:ascii="仿宋_GB2312" w:hAnsi="仿宋"/>
          <w:color w:val="auto"/>
          <w:szCs w:val="32"/>
        </w:rPr>
        <w:t>2022年</w:t>
      </w:r>
      <w:r>
        <w:rPr>
          <w:rFonts w:hint="eastAsia" w:ascii="仿宋_GB2312" w:hAnsi="仿宋"/>
          <w:color w:val="auto"/>
          <w:szCs w:val="32"/>
          <w:lang w:val="en-US" w:eastAsia="zh-CN"/>
        </w:rPr>
        <w:t>未安排因公出国（境）计划。故2023年</w:t>
      </w:r>
      <w:r>
        <w:rPr>
          <w:rFonts w:hint="eastAsia" w:ascii="仿宋_GB2312" w:hAnsi="仿宋"/>
          <w:color w:val="auto"/>
          <w:szCs w:val="32"/>
        </w:rPr>
        <w:t>六安市裕安区石板冲乡人民政府</w:t>
      </w:r>
      <w:r>
        <w:rPr>
          <w:rFonts w:hint="eastAsia" w:ascii="仿宋_GB2312" w:hAnsi="仿宋"/>
          <w:color w:val="auto"/>
          <w:szCs w:val="32"/>
          <w:lang w:val="en-US" w:eastAsia="zh-CN"/>
        </w:rPr>
        <w:t>因</w:t>
      </w:r>
      <w:r>
        <w:rPr>
          <w:rFonts w:hint="eastAsia" w:ascii="仿宋_GB2312" w:hAnsi="仿宋"/>
          <w:color w:val="auto"/>
          <w:szCs w:val="32"/>
        </w:rPr>
        <w:t>公出国（境）团组</w:t>
      </w:r>
      <w:r>
        <w:rPr>
          <w:rFonts w:hint="eastAsia" w:ascii="仿宋_GB2312" w:hAnsi="仿宋"/>
          <w:color w:val="auto"/>
          <w:szCs w:val="32"/>
          <w:lang w:val="en-US" w:eastAsia="zh-CN"/>
        </w:rPr>
        <w:t>0</w:t>
      </w:r>
      <w:r>
        <w:rPr>
          <w:rFonts w:hint="eastAsia" w:ascii="仿宋_GB2312" w:hAnsi="仿宋"/>
          <w:color w:val="auto"/>
          <w:szCs w:val="32"/>
        </w:rPr>
        <w:t>次，累计出</w:t>
      </w:r>
      <w:r>
        <w:rPr>
          <w:rFonts w:hint="eastAsia" w:ascii="仿宋_GB2312" w:hAnsi="仿宋"/>
          <w:szCs w:val="32"/>
        </w:rPr>
        <w:t>国（境）</w:t>
      </w:r>
      <w:r>
        <w:rPr>
          <w:rFonts w:hint="eastAsia" w:ascii="仿宋_GB2312" w:hAnsi="仿宋"/>
          <w:szCs w:val="32"/>
          <w:lang w:val="en-US" w:eastAsia="zh-CN"/>
        </w:rPr>
        <w:t>0</w:t>
      </w:r>
      <w:r>
        <w:rPr>
          <w:rFonts w:hint="eastAsia" w:ascii="仿宋_GB2312" w:hAnsi="仿宋"/>
          <w:szCs w:val="32"/>
        </w:rPr>
        <w:t>人次。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eastAsia" w:ascii="仿宋_GB2312" w:hAnsi="Times New Roman" w:eastAsia="仿宋_GB2312" w:cs="仿宋_GB2312"/>
          <w:i w:val="0"/>
          <w:iCs w:val="0"/>
          <w:caps w:val="0"/>
          <w:color w:val="auto"/>
          <w:spacing w:val="0"/>
          <w:sz w:val="32"/>
          <w:szCs w:val="32"/>
          <w:shd w:val="clear" w:color="auto" w:fill="FFFFFF"/>
        </w:rPr>
      </w:pPr>
      <w:r>
        <w:rPr>
          <w:rFonts w:hint="eastAsia" w:ascii="仿宋_GB2312" w:hAnsi="仿宋" w:eastAsia="仿宋_GB2312" w:cs="Times New Roman"/>
          <w:b/>
          <w:bCs/>
          <w:color w:val="auto"/>
          <w:kern w:val="2"/>
          <w:sz w:val="32"/>
          <w:szCs w:val="32"/>
          <w:lang w:val="en-US" w:eastAsia="zh-CN" w:bidi="ar-SA"/>
        </w:rPr>
        <w:t>2.公务接待费</w:t>
      </w:r>
      <w:r>
        <w:rPr>
          <w:rFonts w:hint="eastAsia" w:ascii="仿宋_GB2312" w:hAnsi="仿宋" w:eastAsia="仿宋_GB2312" w:cs="Times New Roman"/>
          <w:color w:val="auto"/>
          <w:kern w:val="2"/>
          <w:sz w:val="32"/>
          <w:szCs w:val="32"/>
          <w:lang w:val="en-US" w:eastAsia="zh-CN" w:bidi="ar-SA"/>
        </w:rPr>
        <w:t>预算为8.90万元，支出决算为8.16万元，完成预算的91.7%；较上年减少0.79万元，下降8.8%。决算数小于预算数的主要原因是控制公务接待支出。决算数较上年减少的主要原因是控制公务接待支出。2023年安徽省六安市裕安区石板冲乡人民政府国内公务接待共135批次（其中外事接待0批次），1556人次（其中外事接待0人次）。主要是用于各项工作调研、招商引资等。经费使用贯彻中央八项规定和省委实施细则，严格执行《党政机关厉行节约反对浪费</w:t>
      </w:r>
      <w:r>
        <w:rPr>
          <w:rFonts w:hint="eastAsia" w:ascii="仿宋_GB2312" w:hAnsi="Times New Roman" w:eastAsia="仿宋_GB2312" w:cs="仿宋_GB2312"/>
          <w:i w:val="0"/>
          <w:iCs w:val="0"/>
          <w:caps w:val="0"/>
          <w:color w:val="auto"/>
          <w:spacing w:val="0"/>
          <w:sz w:val="32"/>
          <w:szCs w:val="32"/>
          <w:shd w:val="clear" w:color="auto" w:fill="FFFFFF"/>
        </w:rPr>
        <w:t>条例》、《六安市直机关公务接待费管理暂行办法》（财行〔2015〕236号）、《市委办党政机关公务接待管理细则（六办发〔2014〕24号）等相关规定。</w:t>
      </w:r>
    </w:p>
    <w:p>
      <w:pPr>
        <w:ind w:firstLine="628" w:firstLineChars="200"/>
        <w:rPr>
          <w:rFonts w:hint="eastAsia"/>
        </w:rPr>
      </w:pPr>
      <w:r>
        <w:rPr>
          <w:rFonts w:hint="eastAsia" w:ascii="仿宋_GB2312" w:hAnsi="仿宋"/>
          <w:b/>
          <w:bCs/>
          <w:szCs w:val="32"/>
        </w:rPr>
        <w:t>3.公务用车购置及运行维护费</w:t>
      </w:r>
      <w:r>
        <w:rPr>
          <w:rFonts w:hint="eastAsia" w:ascii="仿宋_GB2312" w:hAnsi="仿宋"/>
          <w:szCs w:val="32"/>
        </w:rPr>
        <w:t>预算为</w:t>
      </w:r>
      <w:r>
        <w:rPr>
          <w:rFonts w:hint="eastAsia" w:ascii="仿宋_GB2312" w:hAnsi="仿宋"/>
          <w:szCs w:val="32"/>
          <w:lang w:val="en-US" w:eastAsia="zh-CN"/>
        </w:rPr>
        <w:t>5.45</w:t>
      </w:r>
      <w:r>
        <w:rPr>
          <w:rFonts w:hint="eastAsia" w:ascii="仿宋_GB2312" w:hAnsi="仿宋"/>
          <w:szCs w:val="32"/>
        </w:rPr>
        <w:t>万元，支出决算</w:t>
      </w:r>
      <w:r>
        <w:rPr>
          <w:rFonts w:hint="eastAsia" w:ascii="仿宋_GB2312" w:hAnsi="仿宋"/>
          <w:szCs w:val="32"/>
          <w:lang w:val="en-US" w:eastAsia="zh-CN"/>
        </w:rPr>
        <w:t>4.95</w:t>
      </w:r>
      <w:r>
        <w:rPr>
          <w:rFonts w:hint="eastAsia" w:ascii="仿宋_GB2312" w:hAnsi="仿宋"/>
          <w:szCs w:val="32"/>
        </w:rPr>
        <w:t>万元，完成预算的</w:t>
      </w:r>
      <w:r>
        <w:rPr>
          <w:rFonts w:hint="eastAsia" w:ascii="仿宋_GB2312" w:hAnsi="仿宋"/>
          <w:szCs w:val="32"/>
          <w:lang w:val="en-US" w:eastAsia="zh-CN"/>
        </w:rPr>
        <w:t>90.8</w:t>
      </w:r>
      <w:r>
        <w:rPr>
          <w:rFonts w:hint="eastAsia" w:ascii="仿宋_GB2312" w:hAnsi="仿宋"/>
          <w:szCs w:val="32"/>
        </w:rPr>
        <w:t>%；较上年减少</w:t>
      </w:r>
      <w:r>
        <w:rPr>
          <w:rFonts w:hint="eastAsia" w:ascii="仿宋_GB2312" w:hAnsi="仿宋"/>
          <w:szCs w:val="32"/>
          <w:lang w:val="en-US" w:eastAsia="zh-CN"/>
        </w:rPr>
        <w:t>0.39</w:t>
      </w:r>
      <w:r>
        <w:rPr>
          <w:rFonts w:hint="eastAsia" w:ascii="仿宋_GB2312" w:hAnsi="仿宋"/>
          <w:szCs w:val="32"/>
        </w:rPr>
        <w:t>万元，下降</w:t>
      </w:r>
      <w:r>
        <w:rPr>
          <w:rFonts w:hint="eastAsia" w:ascii="仿宋_GB2312" w:hAnsi="仿宋"/>
          <w:szCs w:val="32"/>
          <w:lang w:val="en-US" w:eastAsia="zh-CN"/>
        </w:rPr>
        <w:t>7.3</w:t>
      </w:r>
      <w:r>
        <w:rPr>
          <w:rFonts w:hint="eastAsia" w:ascii="仿宋_GB2312" w:hAnsi="仿宋"/>
          <w:szCs w:val="32"/>
        </w:rPr>
        <w:t>%。决算数小于预算数的主要原因是</w:t>
      </w:r>
      <w:r>
        <w:rPr>
          <w:rFonts w:hint="eastAsia" w:ascii="仿宋_GB2312" w:hAnsi="仿宋"/>
          <w:szCs w:val="32"/>
          <w:lang w:val="en-US" w:eastAsia="zh-CN"/>
        </w:rPr>
        <w:t>加强公车管理，压缩支出</w:t>
      </w:r>
      <w:r>
        <w:rPr>
          <w:rFonts w:hint="eastAsia" w:ascii="仿宋_GB2312" w:hAnsi="仿宋"/>
          <w:szCs w:val="32"/>
        </w:rPr>
        <w:t>。决算数较上年减少的主要原因是</w:t>
      </w:r>
      <w:r>
        <w:rPr>
          <w:rFonts w:hint="eastAsia" w:ascii="仿宋_GB2312" w:hAnsi="仿宋"/>
          <w:szCs w:val="32"/>
          <w:lang w:val="en-US" w:eastAsia="zh-CN"/>
        </w:rPr>
        <w:t>加强公车管理，压缩支出</w:t>
      </w:r>
      <w:r>
        <w:rPr>
          <w:rFonts w:hint="eastAsia" w:ascii="仿宋_GB2312" w:hAnsi="仿宋"/>
          <w:szCs w:val="32"/>
        </w:rPr>
        <w:t>。其中，</w:t>
      </w:r>
      <w:r>
        <w:rPr>
          <w:rFonts w:hint="eastAsia" w:ascii="仿宋_GB2312" w:hAnsi="仿宋" w:cs="Times New Roman"/>
          <w:szCs w:val="32"/>
          <w:lang w:val="en-US" w:eastAsia="zh-CN"/>
        </w:rPr>
        <w:t>2023年没有安排公务用车购置费。公务用车运行维护费预算为5.45万元，支出决算为4.95万元，完成预算的90.8%；较上年减少</w:t>
      </w:r>
      <w:r>
        <w:rPr>
          <w:rFonts w:hint="eastAsia" w:ascii="仿宋_GB2312" w:hAnsi="仿宋"/>
          <w:szCs w:val="32"/>
          <w:lang w:val="en-US" w:eastAsia="zh-CN"/>
        </w:rPr>
        <w:t>0.39</w:t>
      </w:r>
      <w:r>
        <w:rPr>
          <w:rFonts w:hint="eastAsia" w:ascii="仿宋_GB2312" w:hAnsi="仿宋"/>
          <w:szCs w:val="32"/>
        </w:rPr>
        <w:t>万元，下降</w:t>
      </w:r>
      <w:r>
        <w:rPr>
          <w:rFonts w:hint="eastAsia" w:ascii="仿宋_GB2312" w:hAnsi="仿宋"/>
          <w:szCs w:val="32"/>
          <w:lang w:val="en-US" w:eastAsia="zh-CN"/>
        </w:rPr>
        <w:t>7.3</w:t>
      </w:r>
      <w:r>
        <w:rPr>
          <w:rFonts w:hint="eastAsia" w:ascii="仿宋_GB2312" w:hAnsi="仿宋"/>
          <w:szCs w:val="32"/>
        </w:rPr>
        <w:t>%。</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规范使用公务用车</w:t>
      </w:r>
      <w:r>
        <w:rPr>
          <w:rFonts w:hint="eastAsia" w:ascii="仿宋_GB2312" w:hAnsi="仿宋"/>
          <w:color w:val="auto"/>
          <w:szCs w:val="32"/>
        </w:rPr>
        <w:t>。决算数较上年</w:t>
      </w:r>
      <w:r>
        <w:rPr>
          <w:rFonts w:hint="eastAsia" w:ascii="仿宋_GB2312" w:hAnsi="仿宋"/>
          <w:color w:val="auto"/>
          <w:szCs w:val="32"/>
          <w:lang w:val="en-US" w:eastAsia="zh-CN"/>
        </w:rPr>
        <w:t>减少</w:t>
      </w:r>
      <w:r>
        <w:rPr>
          <w:rFonts w:hint="eastAsia" w:ascii="仿宋_GB2312" w:hAnsi="仿宋"/>
          <w:color w:val="auto"/>
          <w:szCs w:val="32"/>
        </w:rPr>
        <w:t>的主要原因是</w:t>
      </w:r>
      <w:r>
        <w:rPr>
          <w:rFonts w:hint="eastAsia" w:ascii="仿宋_GB2312" w:hAnsi="仿宋"/>
          <w:color w:val="auto"/>
          <w:szCs w:val="32"/>
          <w:lang w:val="en-US" w:eastAsia="zh-CN"/>
        </w:rPr>
        <w:t>严控公车支出</w:t>
      </w:r>
      <w:r>
        <w:rPr>
          <w:rFonts w:hint="eastAsia" w:ascii="仿宋_GB2312" w:hAnsi="仿宋"/>
          <w:color w:val="auto"/>
          <w:szCs w:val="32"/>
        </w:rPr>
        <w:t>。公务用车运行</w:t>
      </w:r>
      <w:r>
        <w:rPr>
          <w:rFonts w:hint="eastAsia" w:ascii="仿宋_GB2312" w:hAnsi="仿宋"/>
          <w:szCs w:val="32"/>
        </w:rPr>
        <w:t>维护费，包括车辆燃料费、维修费、过路过桥费、保险费等支出，主要用于</w:t>
      </w:r>
      <w:r>
        <w:rPr>
          <w:rFonts w:hint="eastAsia" w:ascii="仿宋_GB2312" w:hAnsi="仿宋"/>
          <w:szCs w:val="32"/>
          <w:lang w:val="en-US" w:eastAsia="zh-CN"/>
        </w:rPr>
        <w:t>保证本乡公务用车支出</w:t>
      </w:r>
      <w:r>
        <w:rPr>
          <w:rFonts w:hint="eastAsia" w:ascii="仿宋_GB2312" w:hAnsi="仿宋"/>
          <w:szCs w:val="32"/>
        </w:rPr>
        <w:t>。截至202</w:t>
      </w:r>
      <w:r>
        <w:rPr>
          <w:rFonts w:hint="eastAsia" w:ascii="仿宋_GB2312" w:hAnsi="仿宋"/>
          <w:szCs w:val="32"/>
          <w:lang w:val="en-US" w:eastAsia="zh-CN"/>
        </w:rPr>
        <w:t>3</w:t>
      </w:r>
      <w:r>
        <w:rPr>
          <w:rFonts w:hint="eastAsia" w:ascii="仿宋_GB2312" w:hAnsi="仿宋"/>
          <w:szCs w:val="32"/>
        </w:rPr>
        <w:t>年12月31日，六安市裕安区</w:t>
      </w:r>
      <w:r>
        <w:rPr>
          <w:rFonts w:hint="eastAsia" w:ascii="仿宋_GB2312" w:hAnsi="仿宋"/>
          <w:szCs w:val="32"/>
          <w:lang w:val="en-US" w:eastAsia="zh-CN"/>
        </w:rPr>
        <w:t>石板冲乡人民政</w:t>
      </w:r>
      <w:r>
        <w:rPr>
          <w:rFonts w:hint="eastAsia" w:ascii="仿宋_GB2312" w:hAnsi="仿宋"/>
          <w:b w:val="0"/>
          <w:bCs w:val="0"/>
          <w:szCs w:val="32"/>
          <w:lang w:val="en-US" w:eastAsia="zh-CN"/>
        </w:rPr>
        <w:t>府</w:t>
      </w:r>
      <w:r>
        <w:rPr>
          <w:rFonts w:hint="eastAsia" w:ascii="仿宋_GB2312" w:hAnsi="仿宋"/>
          <w:b w:val="0"/>
          <w:bCs w:val="0"/>
          <w:szCs w:val="32"/>
        </w:rPr>
        <w:t>开支</w:t>
      </w:r>
      <w:r>
        <w:rPr>
          <w:rFonts w:hint="eastAsia" w:ascii="仿宋_GB2312" w:hAnsi="仿宋"/>
          <w:szCs w:val="32"/>
        </w:rPr>
        <w:t>财政拨款的公务用车保有量为</w:t>
      </w:r>
      <w:r>
        <w:rPr>
          <w:rFonts w:hint="eastAsia" w:ascii="仿宋_GB2312" w:hAnsi="仿宋"/>
          <w:szCs w:val="32"/>
          <w:lang w:val="en-US" w:eastAsia="zh-CN"/>
        </w:rPr>
        <w:t>1</w:t>
      </w:r>
      <w:r>
        <w:rPr>
          <w:rFonts w:hint="eastAsia" w:ascii="仿宋_GB2312" w:hAnsi="仿宋"/>
          <w:szCs w:val="32"/>
        </w:rPr>
        <w:t>辆。</w:t>
      </w:r>
    </w:p>
    <w:p>
      <w:pPr>
        <w:ind w:firstLine="628" w:firstLineChars="200"/>
        <w:rPr>
          <w:rFonts w:hint="eastAsia" w:ascii="仿宋_GB2312"/>
        </w:rPr>
      </w:pPr>
    </w:p>
    <w:p>
      <w:pPr>
        <w:pStyle w:val="2"/>
        <w:jc w:val="both"/>
        <w:rPr>
          <w:rFonts w:hint="eastAsia"/>
        </w:rPr>
      </w:pPr>
      <w:bookmarkStart w:id="0" w:name="_GoBack"/>
      <w:bookmarkEnd w:id="0"/>
    </w:p>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Fonts w:ascii="仿宋_GB2312"/>
        <w:sz w:val="28"/>
      </w:rPr>
    </w:pPr>
    <w:r>
      <w:rPr>
        <w:rStyle w:val="13"/>
        <w:rFonts w:hint="eastAsia" w:ascii="仿宋_GB2312"/>
        <w:sz w:val="28"/>
      </w:rPr>
      <w:t>-</w:t>
    </w:r>
    <w:r>
      <w:rPr>
        <w:rFonts w:hint="eastAsia" w:ascii="仿宋_GB2312"/>
        <w:sz w:val="28"/>
        <w:szCs w:val="28"/>
      </w:rPr>
      <w:fldChar w:fldCharType="begin"/>
    </w:r>
    <w:r>
      <w:rPr>
        <w:rStyle w:val="13"/>
        <w:rFonts w:hint="eastAsia" w:ascii="仿宋_GB2312"/>
        <w:sz w:val="28"/>
        <w:szCs w:val="28"/>
      </w:rPr>
      <w:instrText xml:space="preserve"> PAGE </w:instrText>
    </w:r>
    <w:r>
      <w:rPr>
        <w:rFonts w:hint="eastAsia" w:ascii="仿宋_GB2312"/>
        <w:sz w:val="28"/>
        <w:szCs w:val="28"/>
      </w:rPr>
      <w:fldChar w:fldCharType="separate"/>
    </w:r>
    <w:r>
      <w:rPr>
        <w:rStyle w:val="13"/>
        <w:rFonts w:ascii="仿宋_GB2312"/>
        <w:sz w:val="28"/>
        <w:szCs w:val="28"/>
      </w:rPr>
      <w:t>23</w:t>
    </w:r>
    <w:r>
      <w:rPr>
        <w:rFonts w:hint="eastAsia" w:ascii="仿宋_GB2312"/>
        <w:sz w:val="28"/>
        <w:szCs w:val="28"/>
      </w:rPr>
      <w:fldChar w:fldCharType="end"/>
    </w:r>
    <w:r>
      <w:rPr>
        <w:rStyle w:val="13"/>
        <w:rFonts w:hint="eastAsia" w:ascii="仿宋_GB2312"/>
        <w:sz w:val="28"/>
        <w:szCs w:val="28"/>
      </w:rPr>
      <w:t>-</w:t>
    </w:r>
  </w:p>
  <w:p>
    <w:pPr>
      <w:pStyle w:val="8"/>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OTIwZDdhZjJkZDQ1YjEzMmMzODgxZmExNmFiNWIifQ=="/>
  </w:docVars>
  <w:rsids>
    <w:rsidRoot w:val="5AA03F35"/>
    <w:rsid w:val="04D77D1E"/>
    <w:rsid w:val="098060D5"/>
    <w:rsid w:val="0B7E22F0"/>
    <w:rsid w:val="0ECB32D4"/>
    <w:rsid w:val="122122F3"/>
    <w:rsid w:val="1ED90E92"/>
    <w:rsid w:val="21D23E7C"/>
    <w:rsid w:val="23E04A7C"/>
    <w:rsid w:val="2FD03822"/>
    <w:rsid w:val="35A47AB7"/>
    <w:rsid w:val="37340B28"/>
    <w:rsid w:val="42FE09B2"/>
    <w:rsid w:val="471D6A45"/>
    <w:rsid w:val="4914471F"/>
    <w:rsid w:val="497D426F"/>
    <w:rsid w:val="4BD54814"/>
    <w:rsid w:val="4D430C7A"/>
    <w:rsid w:val="53D44616"/>
    <w:rsid w:val="53DE24EC"/>
    <w:rsid w:val="57A10FDB"/>
    <w:rsid w:val="59090329"/>
    <w:rsid w:val="5AA03F35"/>
    <w:rsid w:val="5CCC728C"/>
    <w:rsid w:val="612C4085"/>
    <w:rsid w:val="616F7041"/>
    <w:rsid w:val="61A80257"/>
    <w:rsid w:val="6E014AC0"/>
    <w:rsid w:val="7C9D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7"/>
    <w:qFormat/>
    <w:uiPriority w:val="0"/>
    <w:pPr>
      <w:keepNext/>
      <w:keepLines/>
      <w:widowControl w:val="0"/>
      <w:spacing w:before="240" w:after="240" w:line="560" w:lineRule="exact"/>
      <w:jc w:val="both"/>
      <w:outlineLvl w:val="0"/>
    </w:pPr>
    <w:rPr>
      <w:rFonts w:ascii="FangSong_GB2312" w:hAnsi="FangSong_GB2312" w:eastAsia="黑体" w:cs="Times New Roman"/>
      <w:b/>
      <w:color w:val="000000"/>
      <w:kern w:val="44"/>
      <w:sz w:val="32"/>
      <w:szCs w:val="20"/>
    </w:rPr>
  </w:style>
  <w:style w:type="paragraph" w:styleId="4">
    <w:name w:val="heading 2"/>
    <w:basedOn w:val="1"/>
    <w:next w:val="1"/>
    <w:link w:val="14"/>
    <w:semiHidden/>
    <w:unhideWhenUsed/>
    <w:qFormat/>
    <w:uiPriority w:val="0"/>
    <w:pPr>
      <w:keepNext/>
      <w:keepLines/>
      <w:widowControl w:val="0"/>
      <w:spacing w:line="560" w:lineRule="exact"/>
      <w:ind w:firstLine="720" w:firstLineChars="200"/>
      <w:jc w:val="left"/>
      <w:outlineLvl w:val="1"/>
    </w:pPr>
    <w:rPr>
      <w:rFonts w:ascii="宋体" w:hAnsi="宋体" w:eastAsia="楷体" w:cs="Times New Roman"/>
      <w:b/>
      <w:bCs/>
      <w:sz w:val="32"/>
      <w:szCs w:val="44"/>
    </w:rPr>
  </w:style>
  <w:style w:type="paragraph" w:styleId="5">
    <w:name w:val="heading 3"/>
    <w:basedOn w:val="1"/>
    <w:next w:val="1"/>
    <w:link w:val="15"/>
    <w:semiHidden/>
    <w:unhideWhenUsed/>
    <w:qFormat/>
    <w:uiPriority w:val="0"/>
    <w:pPr>
      <w:keepNext/>
      <w:keepLines/>
      <w:widowControl w:val="0"/>
      <w:spacing w:line="560" w:lineRule="exact"/>
      <w:ind w:firstLine="200" w:firstLineChars="200"/>
      <w:jc w:val="left"/>
      <w:outlineLvl w:val="2"/>
    </w:pPr>
    <w:rPr>
      <w:rFonts w:ascii="Calibri" w:hAnsi="Calibri" w:eastAsia="仿宋" w:cs="Times New Roman"/>
      <w:b/>
      <w:bCs/>
      <w:kern w:val="2"/>
      <w:sz w:val="32"/>
      <w:szCs w:val="32"/>
    </w:rPr>
  </w:style>
  <w:style w:type="paragraph" w:styleId="6">
    <w:name w:val="heading 4"/>
    <w:basedOn w:val="5"/>
    <w:next w:val="1"/>
    <w:link w:val="16"/>
    <w:semiHidden/>
    <w:unhideWhenUsed/>
    <w:qFormat/>
    <w:uiPriority w:val="0"/>
    <w:pPr>
      <w:spacing w:before="240" w:after="240"/>
      <w:jc w:val="left"/>
      <w:outlineLvl w:val="3"/>
    </w:pPr>
    <w:rPr>
      <w:rFonts w:ascii="Cambria" w:hAnsi="Cambria"/>
      <w:b w:val="0"/>
      <w:szCs w:val="28"/>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7"/>
    <w:qFormat/>
    <w:uiPriority w:val="0"/>
    <w:pPr>
      <w:ind w:firstLine="420" w:firstLineChars="200"/>
    </w:pPr>
  </w:style>
  <w:style w:type="character" w:styleId="13">
    <w:name w:val="page number"/>
    <w:basedOn w:val="12"/>
    <w:qFormat/>
    <w:uiPriority w:val="0"/>
  </w:style>
  <w:style w:type="character" w:customStyle="1" w:styleId="14">
    <w:name w:val="标题 2 Char"/>
    <w:basedOn w:val="12"/>
    <w:link w:val="4"/>
    <w:qFormat/>
    <w:uiPriority w:val="9"/>
    <w:rPr>
      <w:rFonts w:ascii="宋体" w:hAnsi="宋体" w:eastAsia="楷体" w:cstheme="majorBidi"/>
      <w:b/>
      <w:bCs/>
      <w:sz w:val="36"/>
      <w:szCs w:val="32"/>
    </w:rPr>
  </w:style>
  <w:style w:type="character" w:customStyle="1" w:styleId="15">
    <w:name w:val="标题 3 Char"/>
    <w:basedOn w:val="12"/>
    <w:link w:val="5"/>
    <w:qFormat/>
    <w:uiPriority w:val="9"/>
    <w:rPr>
      <w:b/>
      <w:bCs/>
      <w:sz w:val="32"/>
      <w:szCs w:val="32"/>
    </w:rPr>
  </w:style>
  <w:style w:type="character" w:customStyle="1" w:styleId="16">
    <w:name w:val="标题 4 Char"/>
    <w:basedOn w:val="12"/>
    <w:link w:val="6"/>
    <w:semiHidden/>
    <w:qFormat/>
    <w:uiPriority w:val="9"/>
    <w:rPr>
      <w:rFonts w:ascii="Cambria" w:hAnsi="Cambria" w:eastAsiaTheme="majorEastAsia" w:cstheme="majorBidi"/>
      <w:b/>
      <w:bCs/>
      <w:sz w:val="28"/>
      <w:szCs w:val="28"/>
    </w:rPr>
  </w:style>
  <w:style w:type="character" w:customStyle="1" w:styleId="17">
    <w:name w:val="标题 1 字符"/>
    <w:basedOn w:val="12"/>
    <w:link w:val="3"/>
    <w:qFormat/>
    <w:locked/>
    <w:uiPriority w:val="99"/>
    <w:rPr>
      <w:rFonts w:ascii="FangSong_GB2312" w:hAnsi="FangSong_GB2312" w:eastAsia="黑体"/>
      <w:b/>
      <w:color w:val="000000"/>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1189</Words>
  <Characters>1379</Characters>
  <Lines>0</Lines>
  <Paragraphs>0</Paragraphs>
  <TotalTime>1</TotalTime>
  <ScaleCrop>false</ScaleCrop>
  <LinksUpToDate>false</LinksUpToDate>
  <CharactersWithSpaces>1459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2024-08-14T03:24:00Z</dcterms:created>
  <dc:creator>Xiaowei</dc:creator>
  <cp:lastModifiedBy>1111</cp:lastModifiedBy>
  <dcterms:modified xsi:type="dcterms:W3CDTF">2024-11-10T05:46:18Z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B25FFA78C48D43E6AF861C8049552DF1_11</vt:lpwstr>
  </property>
</Properties>
</file>