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line="360" w:lineRule="auto"/>
        <w:outlineLvl w:val="1"/>
        <w:rPr>
          <w:rFonts w:ascii="黑体" w:hAnsi="黑体" w:eastAsia="黑体"/>
          <w:bCs/>
          <w:sz w:val="32"/>
          <w:szCs w:val="32"/>
        </w:rPr>
      </w:pPr>
      <w:bookmarkStart w:id="0" w:name="_GoBack"/>
      <w:bookmarkEnd w:id="0"/>
      <w:r>
        <w:rPr>
          <w:rFonts w:hint="eastAsia" w:ascii="黑体" w:hAnsi="黑体" w:eastAsia="黑体"/>
          <w:bCs/>
          <w:sz w:val="32"/>
          <w:szCs w:val="32"/>
        </w:rPr>
        <w:t>附件</w:t>
      </w:r>
      <w:r>
        <w:rPr>
          <w:rFonts w:ascii="黑体" w:hAnsi="黑体" w:eastAsia="黑体"/>
          <w:bCs/>
          <w:sz w:val="32"/>
          <w:szCs w:val="32"/>
        </w:rPr>
        <w:t>2</w:t>
      </w:r>
    </w:p>
    <w:p>
      <w:pPr>
        <w:adjustRightInd w:val="0"/>
        <w:snapToGrid w:val="0"/>
        <w:spacing w:beforeLines="50" w:afterLines="50" w:line="360" w:lineRule="auto"/>
        <w:jc w:val="center"/>
        <w:outlineLvl w:val="1"/>
        <w:rPr>
          <w:rFonts w:ascii="方正小标宋简体" w:eastAsia="方正小标宋简体" w:cs="宋体"/>
          <w:sz w:val="44"/>
          <w:szCs w:val="44"/>
        </w:rPr>
      </w:pPr>
      <w:r>
        <w:rPr>
          <w:rFonts w:hint="eastAsia" w:ascii="方正小标宋简体" w:hAnsi="宋体" w:eastAsia="方正小标宋简体" w:cs="宋体"/>
          <w:sz w:val="44"/>
          <w:szCs w:val="44"/>
        </w:rPr>
        <w:t>用人单位职业卫生管理自查方法</w:t>
      </w:r>
    </w:p>
    <w:p>
      <w:pPr>
        <w:adjustRightInd w:val="0"/>
        <w:snapToGrid w:val="0"/>
        <w:spacing w:line="560" w:lineRule="exact"/>
        <w:ind w:firstLine="640" w:firstLineChars="200"/>
        <w:outlineLvl w:val="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根据《职业病防治法》等法律法规规章制定用人单位职业卫生管理自查内容、方法。</w:t>
      </w:r>
    </w:p>
    <w:p>
      <w:pPr>
        <w:adjustRightInd w:val="0"/>
        <w:snapToGrid w:val="0"/>
        <w:spacing w:line="560" w:lineRule="exact"/>
        <w:ind w:firstLine="640" w:firstLineChars="200"/>
        <w:outlineLvl w:val="1"/>
        <w:rPr>
          <w:rFonts w:ascii="Times New Roman" w:hAnsi="Times New Roman" w:eastAsia="黑体"/>
          <w:bCs/>
          <w:sz w:val="32"/>
          <w:szCs w:val="32"/>
        </w:rPr>
      </w:pPr>
      <w:r>
        <w:rPr>
          <w:rFonts w:hint="eastAsia" w:ascii="Times New Roman" w:hAnsi="Times New Roman" w:eastAsia="黑体"/>
          <w:bCs/>
          <w:sz w:val="32"/>
          <w:szCs w:val="32"/>
        </w:rPr>
        <w:t>一、自查内容</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用人单位职业卫生管理状况通过开展用人单位职业卫生管理自查进行分级。职工总人数</w:t>
      </w:r>
      <w:r>
        <w:rPr>
          <w:rFonts w:ascii="仿宋_GB2312" w:hAnsi="仿宋_GB2312" w:eastAsia="仿宋_GB2312" w:cs="仿宋_GB2312"/>
          <w:bCs/>
          <w:sz w:val="32"/>
          <w:szCs w:val="32"/>
        </w:rPr>
        <w:t>100</w:t>
      </w:r>
      <w:r>
        <w:rPr>
          <w:rFonts w:hint="eastAsia" w:ascii="仿宋_GB2312" w:hAnsi="仿宋_GB2312" w:eastAsia="仿宋_GB2312" w:cs="仿宋_GB2312"/>
          <w:bCs/>
          <w:sz w:val="32"/>
          <w:szCs w:val="32"/>
        </w:rPr>
        <w:t>人及以上的执行《用人单位职业卫生管理自查表》（附表</w:t>
      </w:r>
      <w:r>
        <w:rPr>
          <w:rFonts w:ascii="仿宋_GB2312" w:hAnsi="仿宋_GB2312" w:eastAsia="仿宋_GB2312" w:cs="仿宋_GB2312"/>
          <w:bCs/>
          <w:sz w:val="32"/>
          <w:szCs w:val="32"/>
        </w:rPr>
        <w:t>3-1</w:t>
      </w:r>
      <w:r>
        <w:rPr>
          <w:rFonts w:hint="eastAsia" w:ascii="仿宋_GB2312" w:hAnsi="仿宋_GB2312" w:eastAsia="仿宋_GB2312" w:cs="仿宋_GB2312"/>
          <w:bCs/>
          <w:sz w:val="32"/>
          <w:szCs w:val="32"/>
        </w:rPr>
        <w:t>），共</w:t>
      </w:r>
      <w:r>
        <w:rPr>
          <w:rFonts w:ascii="仿宋_GB2312" w:hAnsi="仿宋_GB2312" w:eastAsia="仿宋_GB2312" w:cs="仿宋_GB2312"/>
          <w:bCs/>
          <w:sz w:val="32"/>
          <w:szCs w:val="32"/>
        </w:rPr>
        <w:t>12</w:t>
      </w:r>
      <w:r>
        <w:rPr>
          <w:rFonts w:hint="eastAsia" w:ascii="仿宋_GB2312" w:hAnsi="仿宋_GB2312" w:eastAsia="仿宋_GB2312" w:cs="仿宋_GB2312"/>
          <w:bCs/>
          <w:sz w:val="32"/>
          <w:szCs w:val="32"/>
        </w:rPr>
        <w:t>类，</w:t>
      </w:r>
      <w:r>
        <w:rPr>
          <w:rFonts w:ascii="仿宋_GB2312" w:hAnsi="仿宋_GB2312" w:eastAsia="仿宋_GB2312" w:cs="仿宋_GB2312"/>
          <w:bCs/>
          <w:sz w:val="32"/>
          <w:szCs w:val="32"/>
        </w:rPr>
        <w:t>68</w:t>
      </w:r>
      <w:r>
        <w:rPr>
          <w:rFonts w:hint="eastAsia" w:ascii="仿宋_GB2312" w:hAnsi="仿宋_GB2312" w:eastAsia="仿宋_GB2312" w:cs="仿宋_GB2312"/>
          <w:bCs/>
          <w:sz w:val="32"/>
          <w:szCs w:val="32"/>
        </w:rPr>
        <w:t>项内容。职工总人数</w:t>
      </w:r>
      <w:r>
        <w:rPr>
          <w:rFonts w:ascii="仿宋_GB2312" w:hAnsi="仿宋_GB2312" w:eastAsia="仿宋_GB2312" w:cs="仿宋_GB2312"/>
          <w:bCs/>
          <w:sz w:val="32"/>
          <w:szCs w:val="32"/>
        </w:rPr>
        <w:t>100</w:t>
      </w:r>
      <w:r>
        <w:rPr>
          <w:rFonts w:hint="eastAsia" w:ascii="仿宋_GB2312" w:hAnsi="仿宋_GB2312" w:eastAsia="仿宋_GB2312" w:cs="仿宋_GB2312"/>
          <w:bCs/>
          <w:sz w:val="32"/>
          <w:szCs w:val="32"/>
        </w:rPr>
        <w:t>人以下的执行《用人单位职业卫生管理自查表》（附表</w:t>
      </w:r>
      <w:r>
        <w:rPr>
          <w:rFonts w:ascii="仿宋_GB2312" w:hAnsi="仿宋_GB2312" w:eastAsia="仿宋_GB2312" w:cs="仿宋_GB2312"/>
          <w:bCs/>
          <w:sz w:val="32"/>
          <w:szCs w:val="32"/>
        </w:rPr>
        <w:t>3-2</w:t>
      </w:r>
      <w:r>
        <w:rPr>
          <w:rFonts w:hint="eastAsia" w:ascii="仿宋_GB2312" w:hAnsi="仿宋_GB2312" w:eastAsia="仿宋_GB2312" w:cs="仿宋_GB2312"/>
          <w:bCs/>
          <w:sz w:val="32"/>
          <w:szCs w:val="32"/>
        </w:rPr>
        <w:t>），共</w:t>
      </w:r>
      <w:r>
        <w:rPr>
          <w:rFonts w:ascii="仿宋_GB2312" w:hAnsi="仿宋_GB2312" w:eastAsia="仿宋_GB2312" w:cs="仿宋_GB2312"/>
          <w:bCs/>
          <w:sz w:val="32"/>
          <w:szCs w:val="32"/>
        </w:rPr>
        <w:t>12</w:t>
      </w:r>
      <w:r>
        <w:rPr>
          <w:rFonts w:hint="eastAsia" w:ascii="仿宋_GB2312" w:hAnsi="仿宋_GB2312" w:eastAsia="仿宋_GB2312" w:cs="仿宋_GB2312"/>
          <w:bCs/>
          <w:sz w:val="32"/>
          <w:szCs w:val="32"/>
        </w:rPr>
        <w:t>类，</w:t>
      </w:r>
      <w:r>
        <w:rPr>
          <w:rFonts w:ascii="仿宋_GB2312" w:hAnsi="仿宋_GB2312" w:eastAsia="仿宋_GB2312" w:cs="仿宋_GB2312"/>
          <w:bCs/>
          <w:sz w:val="32"/>
          <w:szCs w:val="32"/>
        </w:rPr>
        <w:t>22</w:t>
      </w:r>
      <w:r>
        <w:rPr>
          <w:rFonts w:hint="eastAsia" w:ascii="仿宋_GB2312" w:hAnsi="仿宋_GB2312" w:eastAsia="仿宋_GB2312" w:cs="仿宋_GB2312"/>
          <w:bCs/>
          <w:sz w:val="32"/>
          <w:szCs w:val="32"/>
        </w:rPr>
        <w:t>项内容。</w:t>
      </w:r>
    </w:p>
    <w:p>
      <w:pPr>
        <w:adjustRightInd w:val="0"/>
        <w:snapToGrid w:val="0"/>
        <w:spacing w:line="560" w:lineRule="exact"/>
        <w:ind w:firstLine="640" w:firstLineChars="200"/>
        <w:outlineLvl w:val="1"/>
        <w:rPr>
          <w:rFonts w:ascii="Times New Roman" w:hAnsi="Times New Roman" w:eastAsia="黑体"/>
          <w:bCs/>
          <w:sz w:val="32"/>
          <w:szCs w:val="32"/>
        </w:rPr>
      </w:pPr>
      <w:r>
        <w:rPr>
          <w:rFonts w:hint="eastAsia" w:ascii="Times New Roman" w:hAnsi="Times New Roman" w:eastAsia="黑体"/>
          <w:bCs/>
          <w:sz w:val="32"/>
          <w:szCs w:val="32"/>
        </w:rPr>
        <w:t>二、自查方法</w:t>
      </w:r>
    </w:p>
    <w:p>
      <w:pPr>
        <w:spacing w:line="560" w:lineRule="exact"/>
        <w:ind w:firstLine="643" w:firstLineChars="200"/>
        <w:rPr>
          <w:rFonts w:ascii="仿宋_GB2312" w:hAnsi="仿宋_GB2312" w:eastAsia="仿宋_GB2312" w:cs="仿宋_GB2312"/>
          <w:bCs/>
          <w:sz w:val="32"/>
          <w:szCs w:val="32"/>
        </w:rPr>
      </w:pPr>
      <w:r>
        <w:rPr>
          <w:rFonts w:hint="eastAsia" w:ascii="楷体_GB2312" w:hAnsi="楷体" w:eastAsia="楷体_GB2312"/>
          <w:b/>
          <w:sz w:val="32"/>
          <w:szCs w:val="32"/>
        </w:rPr>
        <w:t>（一）通过查阅文件、资料和现场核实等方法对职业卫生管理状况进行检查。</w:t>
      </w:r>
      <w:r>
        <w:rPr>
          <w:rFonts w:hint="eastAsia" w:ascii="仿宋_GB2312" w:hAnsi="仿宋_GB2312" w:eastAsia="仿宋_GB2312" w:cs="仿宋_GB2312"/>
          <w:bCs/>
          <w:sz w:val="32"/>
          <w:szCs w:val="32"/>
        </w:rPr>
        <w:t>自查中发现有关内容为不符合时要及时改正，不能及时改正的，</w:t>
      </w:r>
      <w:r>
        <w:rPr>
          <w:rFonts w:hint="eastAsia" w:ascii="仿宋_GB2312" w:hAnsi="Times New Roman" w:eastAsia="仿宋_GB2312"/>
          <w:sz w:val="32"/>
          <w:szCs w:val="32"/>
        </w:rPr>
        <w:t>要制定改正计划和方案并组织落实</w:t>
      </w:r>
      <w:r>
        <w:rPr>
          <w:rFonts w:hint="eastAsia" w:ascii="仿宋_GB2312" w:hAnsi="仿宋_GB2312" w:eastAsia="仿宋_GB2312" w:cs="仿宋_GB2312"/>
          <w:bCs/>
          <w:sz w:val="32"/>
          <w:szCs w:val="32"/>
        </w:rPr>
        <w:t>。</w:t>
      </w:r>
    </w:p>
    <w:p>
      <w:pPr>
        <w:adjustRightInd w:val="0"/>
        <w:snapToGrid w:val="0"/>
        <w:spacing w:line="560"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（二）分值计算</w:t>
      </w:r>
    </w:p>
    <w:p>
      <w:pPr>
        <w:spacing w:line="560" w:lineRule="exact"/>
        <w:ind w:firstLine="640" w:firstLineChars="200"/>
        <w:rPr>
          <w:rFonts w:ascii="仿宋_GB2312" w:hAnsi="仿宋_GB2312" w:eastAsia="仿宋_GB2312" w:cs="仿宋_GB2312"/>
          <w:bCs/>
          <w:sz w:val="32"/>
          <w:szCs w:val="32"/>
        </w:rPr>
      </w:pPr>
      <w:r>
        <w:rPr>
          <w:rFonts w:ascii="Times New Roman" w:hAnsi="Times New Roman" w:eastAsia="仿宋"/>
          <w:bCs/>
          <w:sz w:val="32"/>
          <w:szCs w:val="32"/>
        </w:rPr>
        <w:t>1.</w:t>
      </w:r>
      <w:r>
        <w:rPr>
          <w:rFonts w:hint="eastAsia" w:ascii="仿宋_GB2312" w:hAnsi="Times New Roman" w:eastAsia="仿宋_GB2312"/>
          <w:sz w:val="32"/>
          <w:szCs w:val="32"/>
        </w:rPr>
        <w:t>依据检查项目在职业卫生管理中的重要程度</w:t>
      </w:r>
      <w:r>
        <w:rPr>
          <w:rFonts w:hint="eastAsia" w:ascii="仿宋_GB2312" w:hAnsi="仿宋_GB2312" w:eastAsia="仿宋_GB2312" w:cs="仿宋_GB2312"/>
          <w:bCs/>
          <w:sz w:val="32"/>
          <w:szCs w:val="32"/>
        </w:rPr>
        <w:t>，即对劳动者健康及其相关权益影响程度，检查项目分值采用五档制，即关键项（★）、</w:t>
      </w:r>
      <w:r>
        <w:rPr>
          <w:rFonts w:ascii="仿宋_GB2312" w:hAnsi="仿宋_GB2312" w:eastAsia="仿宋_GB2312" w:cs="仿宋_GB2312"/>
          <w:bCs/>
          <w:sz w:val="32"/>
          <w:szCs w:val="32"/>
        </w:rPr>
        <w:t>20</w:t>
      </w:r>
      <w:r>
        <w:rPr>
          <w:rFonts w:hint="eastAsia" w:ascii="仿宋_GB2312" w:hAnsi="仿宋_GB2312" w:eastAsia="仿宋_GB2312" w:cs="仿宋_GB2312"/>
          <w:bCs/>
          <w:sz w:val="32"/>
          <w:szCs w:val="32"/>
        </w:rPr>
        <w:t>分、</w:t>
      </w:r>
      <w:r>
        <w:rPr>
          <w:rFonts w:ascii="仿宋_GB2312" w:hAnsi="仿宋_GB2312" w:eastAsia="仿宋_GB2312" w:cs="仿宋_GB2312"/>
          <w:bCs/>
          <w:sz w:val="32"/>
          <w:szCs w:val="32"/>
        </w:rPr>
        <w:t>15</w:t>
      </w:r>
      <w:r>
        <w:rPr>
          <w:rFonts w:hint="eastAsia" w:ascii="仿宋_GB2312" w:hAnsi="仿宋_GB2312" w:eastAsia="仿宋_GB2312" w:cs="仿宋_GB2312"/>
          <w:bCs/>
          <w:sz w:val="32"/>
          <w:szCs w:val="32"/>
        </w:rPr>
        <w:t>分、</w:t>
      </w:r>
      <w:r>
        <w:rPr>
          <w:rFonts w:ascii="仿宋_GB2312" w:hAnsi="仿宋_GB2312" w:eastAsia="仿宋_GB2312" w:cs="仿宋_GB2312"/>
          <w:bCs/>
          <w:sz w:val="32"/>
          <w:szCs w:val="32"/>
        </w:rPr>
        <w:t>10</w:t>
      </w:r>
      <w:r>
        <w:rPr>
          <w:rFonts w:hint="eastAsia" w:ascii="仿宋_GB2312" w:hAnsi="仿宋_GB2312" w:eastAsia="仿宋_GB2312" w:cs="仿宋_GB2312"/>
          <w:bCs/>
          <w:sz w:val="32"/>
          <w:szCs w:val="32"/>
        </w:rPr>
        <w:t>分和</w:t>
      </w: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分。</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其中关键项为否决项，不计入分值，关键项不符合直接评估为</w:t>
      </w:r>
      <w:r>
        <w:rPr>
          <w:rFonts w:ascii="仿宋_GB2312" w:hAnsi="仿宋_GB2312" w:eastAsia="仿宋_GB2312" w:cs="仿宋_GB2312"/>
          <w:bCs/>
          <w:sz w:val="32"/>
          <w:szCs w:val="32"/>
        </w:rPr>
        <w:t>C</w:t>
      </w:r>
      <w:r>
        <w:rPr>
          <w:rFonts w:hint="eastAsia" w:ascii="仿宋_GB2312" w:hAnsi="仿宋_GB2312" w:eastAsia="仿宋_GB2312" w:cs="仿宋_GB2312"/>
          <w:bCs/>
          <w:sz w:val="32"/>
          <w:szCs w:val="32"/>
        </w:rPr>
        <w:t>级。</w:t>
      </w:r>
    </w:p>
    <w:p>
      <w:pPr>
        <w:spacing w:line="56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自查内容为“符合”得满分，自查内容为“基本符合”得一半分（满分的</w:t>
      </w:r>
      <w:r>
        <w:rPr>
          <w:rFonts w:ascii="仿宋_GB2312" w:hAnsi="仿宋_GB2312" w:eastAsia="仿宋_GB2312" w:cs="仿宋_GB2312"/>
          <w:bCs/>
          <w:sz w:val="32"/>
          <w:szCs w:val="32"/>
        </w:rPr>
        <w:t>50%</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自查内容为“</w:t>
      </w:r>
      <w:r>
        <w:rPr>
          <w:rFonts w:hint="eastAsia" w:ascii="仿宋_GB2312" w:hAnsi="Times New Roman" w:eastAsia="仿宋_GB2312"/>
          <w:sz w:val="32"/>
          <w:szCs w:val="32"/>
        </w:rPr>
        <w:t>不符合</w:t>
      </w:r>
      <w:r>
        <w:rPr>
          <w:rFonts w:hint="eastAsia" w:ascii="仿宋_GB2312" w:hAnsi="仿宋_GB2312" w:eastAsia="仿宋_GB2312" w:cs="仿宋_GB2312"/>
          <w:bCs/>
          <w:sz w:val="32"/>
          <w:szCs w:val="32"/>
        </w:rPr>
        <w:t>”得</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分，合理缺项不得分。</w:t>
      </w:r>
    </w:p>
    <w:p>
      <w:pPr>
        <w:spacing w:line="560" w:lineRule="exact"/>
        <w:ind w:firstLine="640" w:firstLineChars="200"/>
        <w:rPr>
          <w:rFonts w:ascii="仿宋_GB2312" w:hAnsi="仿宋_GB2312" w:eastAsia="仿宋_GB2312" w:cs="仿宋_GB2312"/>
          <w:bCs/>
          <w:sz w:val="32"/>
          <w:szCs w:val="32"/>
        </w:rPr>
      </w:pPr>
      <w:r>
        <w:rPr>
          <w:rFonts w:ascii="仿宋_GB2312" w:hAnsi="仿宋_GB2312" w:eastAsia="仿宋_GB2312" w:cs="仿宋_GB2312"/>
          <w:bCs/>
          <w:sz w:val="32"/>
          <w:szCs w:val="32"/>
        </w:rPr>
        <w:t>3.</w:t>
      </w:r>
      <w:r>
        <w:rPr>
          <w:rFonts w:hint="eastAsia" w:ascii="仿宋_GB2312" w:hAnsi="Times New Roman" w:eastAsia="仿宋_GB2312"/>
          <w:sz w:val="32"/>
          <w:szCs w:val="32"/>
        </w:rPr>
        <w:t>最终得分采用百分制对所得分值予以标化</w:t>
      </w:r>
      <w:r>
        <w:rPr>
          <w:rFonts w:hint="eastAsia" w:ascii="仿宋_GB2312" w:hAnsi="仿宋_GB2312" w:eastAsia="仿宋_GB2312" w:cs="仿宋_GB2312"/>
          <w:bCs/>
          <w:sz w:val="32"/>
          <w:szCs w:val="32"/>
        </w:rPr>
        <w:t>，标化得分</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实际得分</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满分分值×</w:t>
      </w:r>
      <w:r>
        <w:rPr>
          <w:rFonts w:ascii="仿宋_GB2312" w:hAnsi="仿宋_GB2312" w:eastAsia="仿宋_GB2312" w:cs="仿宋_GB2312"/>
          <w:bCs/>
          <w:sz w:val="32"/>
          <w:szCs w:val="32"/>
        </w:rPr>
        <w:t>100</w:t>
      </w:r>
      <w:r>
        <w:rPr>
          <w:rFonts w:hint="eastAsia" w:ascii="仿宋_GB2312" w:hAnsi="仿宋_GB2312" w:eastAsia="仿宋_GB2312" w:cs="仿宋_GB2312"/>
          <w:bCs/>
          <w:sz w:val="32"/>
          <w:szCs w:val="32"/>
        </w:rPr>
        <w:t>，实际得分和满分分值均为不含合理缺项项目的分值总和。</w:t>
      </w:r>
    </w:p>
    <w:p>
      <w:pPr>
        <w:adjustRightInd w:val="0"/>
        <w:snapToGrid w:val="0"/>
        <w:spacing w:line="560" w:lineRule="exact"/>
        <w:ind w:firstLine="640" w:firstLineChars="200"/>
        <w:outlineLvl w:val="1"/>
        <w:rPr>
          <w:rFonts w:ascii="Times New Roman" w:hAnsi="Times New Roman" w:eastAsia="黑体"/>
          <w:bCs/>
          <w:sz w:val="32"/>
          <w:szCs w:val="32"/>
        </w:rPr>
      </w:pPr>
      <w:r>
        <w:rPr>
          <w:rFonts w:hint="eastAsia" w:ascii="Times New Roman" w:hAnsi="Times New Roman" w:eastAsia="黑体"/>
          <w:bCs/>
          <w:sz w:val="32"/>
          <w:szCs w:val="32"/>
        </w:rPr>
        <w:t>三、职业卫生管理状况分级</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根据用人单位自查最终标化得分值，将职业卫生管理状况分为</w:t>
      </w:r>
      <w:r>
        <w:rPr>
          <w:rFonts w:ascii="仿宋_GB2312" w:hAnsi="Times New Roman" w:eastAsia="仿宋_GB2312"/>
          <w:sz w:val="32"/>
          <w:szCs w:val="32"/>
        </w:rPr>
        <w:t>A</w:t>
      </w:r>
      <w:r>
        <w:rPr>
          <w:rFonts w:hint="eastAsia" w:ascii="仿宋_GB2312" w:hAnsi="Times New Roman" w:eastAsia="仿宋_GB2312"/>
          <w:sz w:val="32"/>
          <w:szCs w:val="32"/>
        </w:rPr>
        <w:t>级（</w:t>
      </w:r>
      <w:r>
        <w:rPr>
          <w:rFonts w:ascii="仿宋_GB2312" w:hAnsi="Times New Roman" w:eastAsia="仿宋_GB2312"/>
          <w:sz w:val="32"/>
          <w:szCs w:val="32"/>
        </w:rPr>
        <w:t>90-100</w:t>
      </w:r>
      <w:r>
        <w:rPr>
          <w:rFonts w:hint="eastAsia" w:ascii="仿宋_GB2312" w:hAnsi="Times New Roman" w:eastAsia="仿宋_GB2312"/>
          <w:sz w:val="32"/>
          <w:szCs w:val="32"/>
        </w:rPr>
        <w:t>分）、</w:t>
      </w:r>
      <w:r>
        <w:rPr>
          <w:rFonts w:ascii="仿宋_GB2312" w:hAnsi="Times New Roman" w:eastAsia="仿宋_GB2312"/>
          <w:sz w:val="32"/>
          <w:szCs w:val="32"/>
        </w:rPr>
        <w:t>B</w:t>
      </w:r>
      <w:r>
        <w:rPr>
          <w:rFonts w:hint="eastAsia" w:ascii="仿宋_GB2312" w:hAnsi="Times New Roman" w:eastAsia="仿宋_GB2312"/>
          <w:sz w:val="32"/>
          <w:szCs w:val="32"/>
        </w:rPr>
        <w:t>级（</w:t>
      </w:r>
      <w:r>
        <w:rPr>
          <w:rFonts w:ascii="仿宋_GB2312" w:hAnsi="Times New Roman" w:eastAsia="仿宋_GB2312"/>
          <w:sz w:val="32"/>
          <w:szCs w:val="32"/>
        </w:rPr>
        <w:t>70-89</w:t>
      </w:r>
      <w:r>
        <w:rPr>
          <w:rFonts w:hint="eastAsia" w:ascii="仿宋_GB2312" w:hAnsi="Times New Roman" w:eastAsia="仿宋_GB2312"/>
          <w:sz w:val="32"/>
          <w:szCs w:val="32"/>
        </w:rPr>
        <w:t>分）、</w:t>
      </w:r>
      <w:r>
        <w:rPr>
          <w:rFonts w:ascii="仿宋_GB2312" w:hAnsi="Times New Roman" w:eastAsia="仿宋_GB2312"/>
          <w:sz w:val="32"/>
          <w:szCs w:val="32"/>
        </w:rPr>
        <w:t>C</w:t>
      </w:r>
      <w:r>
        <w:rPr>
          <w:rFonts w:hint="eastAsia" w:ascii="仿宋_GB2312" w:hAnsi="Times New Roman" w:eastAsia="仿宋_GB2312"/>
          <w:sz w:val="32"/>
          <w:szCs w:val="32"/>
        </w:rPr>
        <w:t>级（</w:t>
      </w:r>
      <w:r>
        <w:rPr>
          <w:rFonts w:ascii="仿宋_GB2312" w:hAnsi="Times New Roman" w:eastAsia="仿宋_GB2312"/>
          <w:sz w:val="32"/>
          <w:szCs w:val="32"/>
        </w:rPr>
        <w:t>70</w:t>
      </w:r>
      <w:r>
        <w:rPr>
          <w:rFonts w:hint="eastAsia" w:ascii="仿宋_GB2312" w:hAnsi="Times New Roman" w:eastAsia="仿宋_GB2312"/>
          <w:sz w:val="32"/>
          <w:szCs w:val="32"/>
        </w:rPr>
        <w:t>分以下）三个等级。本年度被评为健康企业的用人单位，职业卫生管理状况可直接评为</w:t>
      </w:r>
      <w:r>
        <w:rPr>
          <w:rFonts w:ascii="仿宋_GB2312" w:hAnsi="Times New Roman" w:eastAsia="仿宋_GB2312"/>
          <w:sz w:val="32"/>
          <w:szCs w:val="32"/>
        </w:rPr>
        <w:t>A</w:t>
      </w:r>
      <w:r>
        <w:rPr>
          <w:rFonts w:hint="eastAsia" w:ascii="仿宋_GB2312" w:hAnsi="Times New Roman" w:eastAsia="仿宋_GB2312"/>
          <w:sz w:val="32"/>
          <w:szCs w:val="32"/>
        </w:rPr>
        <w:t>级，同时自查为</w:t>
      </w:r>
      <w:r>
        <w:rPr>
          <w:rFonts w:ascii="仿宋_GB2312" w:hAnsi="Times New Roman" w:eastAsia="仿宋_GB2312"/>
          <w:sz w:val="32"/>
          <w:szCs w:val="32"/>
        </w:rPr>
        <w:t>A</w:t>
      </w:r>
      <w:r>
        <w:rPr>
          <w:rFonts w:hint="eastAsia" w:ascii="仿宋_GB2312" w:hAnsi="Times New Roman" w:eastAsia="仿宋_GB2312"/>
          <w:sz w:val="32"/>
          <w:szCs w:val="32"/>
        </w:rPr>
        <w:t>级的用人单位可以优先被评为健康企业。</w:t>
      </w:r>
    </w:p>
    <w:p>
      <w:pPr>
        <w:adjustRightInd w:val="0"/>
        <w:snapToGrid w:val="0"/>
        <w:spacing w:line="560" w:lineRule="exact"/>
        <w:ind w:firstLine="640" w:firstLineChars="200"/>
        <w:rPr>
          <w:rFonts w:ascii="仿宋_GB2312" w:hAnsi="仿宋_GB2312" w:eastAsia="仿宋_GB2312" w:cs="仿宋_GB2312"/>
          <w:sz w:val="32"/>
          <w:szCs w:val="32"/>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720" w:num="1"/>
          <w:docGrid w:type="lines" w:linePitch="312" w:charSpace="0"/>
        </w:sectPr>
      </w:pPr>
    </w:p>
    <w:p>
      <w:pPr>
        <w:adjustRightInd w:val="0"/>
        <w:snapToGrid w:val="0"/>
        <w:spacing w:line="320" w:lineRule="exact"/>
        <w:outlineLvl w:val="2"/>
        <w:rPr>
          <w:rFonts w:ascii="Times New Roman" w:hAnsi="Times New Roman" w:eastAsia="黑体"/>
          <w:bCs/>
          <w:sz w:val="32"/>
          <w:szCs w:val="32"/>
        </w:rPr>
      </w:pPr>
      <w:r>
        <w:rPr>
          <w:rFonts w:hint="eastAsia" w:ascii="Times New Roman" w:hAnsi="Times New Roman" w:eastAsia="黑体"/>
          <w:bCs/>
          <w:sz w:val="32"/>
          <w:szCs w:val="32"/>
        </w:rPr>
        <w:t>附表</w:t>
      </w:r>
      <w:r>
        <w:rPr>
          <w:rFonts w:ascii="Times New Roman" w:hAnsi="Times New Roman" w:eastAsia="黑体"/>
          <w:bCs/>
          <w:sz w:val="32"/>
          <w:szCs w:val="32"/>
        </w:rPr>
        <w:t>3-1</w:t>
      </w:r>
    </w:p>
    <w:p>
      <w:pPr>
        <w:spacing w:line="480" w:lineRule="exact"/>
        <w:jc w:val="center"/>
        <w:rPr>
          <w:rFonts w:ascii="方正小标宋简体" w:hAnsi="仿宋_GB2312" w:eastAsia="方正小标宋简体" w:cs="仿宋_GB2312"/>
          <w:spacing w:val="14"/>
          <w:kern w:val="0"/>
          <w:sz w:val="44"/>
          <w:szCs w:val="44"/>
        </w:rPr>
      </w:pPr>
      <w:r>
        <w:rPr>
          <w:rFonts w:hint="eastAsia" w:ascii="方正小标宋简体" w:hAnsi="仿宋_GB2312" w:eastAsia="方正小标宋简体" w:cs="仿宋_GB2312"/>
          <w:spacing w:val="14"/>
          <w:kern w:val="0"/>
          <w:sz w:val="44"/>
          <w:szCs w:val="44"/>
        </w:rPr>
        <w:t>用人单位职业卫生管理自查表</w:t>
      </w:r>
    </w:p>
    <w:p>
      <w:pPr>
        <w:rPr>
          <w:rFonts w:ascii="Times New Roman" w:hAnsi="Times New Roman" w:eastAsia="仿宋_GB2312"/>
          <w:kern w:val="0"/>
          <w:sz w:val="28"/>
          <w:szCs w:val="28"/>
        </w:rPr>
      </w:pPr>
    </w:p>
    <w:p>
      <w:pPr>
        <w:rPr>
          <w:rFonts w:ascii="Times New Roman" w:hAnsi="Times New Roman" w:eastAsia="仿宋_GB2312"/>
          <w:b/>
          <w:sz w:val="28"/>
          <w:szCs w:val="28"/>
        </w:rPr>
      </w:pPr>
      <w:r>
        <w:rPr>
          <w:rFonts w:hint="eastAsia" w:ascii="Times New Roman" w:hAnsi="Times New Roman" w:eastAsia="仿宋_GB2312"/>
          <w:b/>
          <w:kern w:val="0"/>
          <w:sz w:val="28"/>
          <w:szCs w:val="28"/>
        </w:rPr>
        <w:t>单位名称：</w:t>
      </w:r>
      <w:r>
        <w:rPr>
          <w:rFonts w:ascii="Times New Roman" w:hAnsi="Times New Roman" w:eastAsia="仿宋_GB2312"/>
          <w:b/>
          <w:sz w:val="28"/>
          <w:szCs w:val="28"/>
        </w:rPr>
        <w:t xml:space="preserve">                                                </w:t>
      </w:r>
      <w:r>
        <w:rPr>
          <w:rFonts w:hint="eastAsia" w:ascii="Times New Roman" w:hAnsi="Times New Roman" w:eastAsia="仿宋_GB2312"/>
          <w:b/>
          <w:sz w:val="28"/>
          <w:szCs w:val="28"/>
        </w:rPr>
        <w:t>职业卫生管理状况等级：</w:t>
      </w:r>
    </w:p>
    <w:tbl>
      <w:tblPr>
        <w:tblStyle w:val="7"/>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7"/>
        <w:gridCol w:w="411"/>
        <w:gridCol w:w="761"/>
        <w:gridCol w:w="3490"/>
        <w:gridCol w:w="1645"/>
        <w:gridCol w:w="1385"/>
        <w:gridCol w:w="1416"/>
        <w:gridCol w:w="1279"/>
        <w:gridCol w:w="1136"/>
        <w:gridCol w:w="425"/>
        <w:gridCol w:w="996"/>
        <w:gridCol w:w="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67" w:type="dxa"/>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类别</w:t>
            </w:r>
          </w:p>
        </w:tc>
        <w:tc>
          <w:tcPr>
            <w:tcW w:w="1172" w:type="dxa"/>
            <w:gridSpan w:val="2"/>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自查项目</w:t>
            </w:r>
          </w:p>
        </w:tc>
        <w:tc>
          <w:tcPr>
            <w:tcW w:w="3490" w:type="dxa"/>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自查内容</w:t>
            </w:r>
          </w:p>
        </w:tc>
        <w:tc>
          <w:tcPr>
            <w:tcW w:w="1645" w:type="dxa"/>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自查方法</w:t>
            </w:r>
          </w:p>
        </w:tc>
        <w:tc>
          <w:tcPr>
            <w:tcW w:w="5216" w:type="dxa"/>
            <w:gridSpan w:val="4"/>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判定依据</w:t>
            </w:r>
          </w:p>
        </w:tc>
        <w:tc>
          <w:tcPr>
            <w:tcW w:w="425" w:type="dxa"/>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分值</w:t>
            </w:r>
          </w:p>
        </w:tc>
        <w:tc>
          <w:tcPr>
            <w:tcW w:w="996" w:type="dxa"/>
            <w:vMerge w:val="restart"/>
            <w:vAlign w:val="center"/>
          </w:tcPr>
          <w:p>
            <w:pPr>
              <w:widowControl/>
              <w:adjustRightInd w:val="0"/>
              <w:snapToGrid w:val="0"/>
              <w:jc w:val="center"/>
              <w:rPr>
                <w:rFonts w:ascii="仿宋_GB2312" w:hAnsi="Times New Roman" w:eastAsia="仿宋_GB2312"/>
                <w:b/>
                <w:kern w:val="0"/>
                <w:sz w:val="18"/>
                <w:szCs w:val="18"/>
              </w:rPr>
            </w:pPr>
            <w:r>
              <w:rPr>
                <w:rFonts w:hint="eastAsia" w:ascii="仿宋_GB2312" w:hAnsi="Times New Roman" w:eastAsia="仿宋_GB2312"/>
                <w:b/>
                <w:kern w:val="0"/>
                <w:sz w:val="18"/>
                <w:szCs w:val="18"/>
              </w:rPr>
              <w:t>自查结果</w:t>
            </w:r>
          </w:p>
        </w:tc>
        <w:tc>
          <w:tcPr>
            <w:tcW w:w="381" w:type="dxa"/>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67" w:type="dxa"/>
            <w:vMerge w:val="continue"/>
            <w:vAlign w:val="center"/>
          </w:tcPr>
          <w:p>
            <w:pPr>
              <w:widowControl/>
              <w:adjustRightInd w:val="0"/>
              <w:snapToGrid w:val="0"/>
              <w:jc w:val="center"/>
              <w:rPr>
                <w:rFonts w:ascii="Times New Roman" w:hAnsi="Times New Roman" w:eastAsia="仿宋_GB2312"/>
                <w:b/>
                <w:kern w:val="0"/>
                <w:sz w:val="18"/>
                <w:szCs w:val="18"/>
              </w:rPr>
            </w:pPr>
          </w:p>
        </w:tc>
        <w:tc>
          <w:tcPr>
            <w:tcW w:w="1172" w:type="dxa"/>
            <w:gridSpan w:val="2"/>
            <w:vMerge w:val="continue"/>
            <w:vAlign w:val="center"/>
          </w:tcPr>
          <w:p>
            <w:pPr>
              <w:widowControl/>
              <w:adjustRightInd w:val="0"/>
              <w:snapToGrid w:val="0"/>
              <w:jc w:val="center"/>
              <w:rPr>
                <w:rFonts w:ascii="Times New Roman" w:hAnsi="Times New Roman" w:eastAsia="仿宋_GB2312"/>
                <w:b/>
                <w:kern w:val="0"/>
                <w:sz w:val="18"/>
                <w:szCs w:val="18"/>
              </w:rPr>
            </w:pPr>
          </w:p>
        </w:tc>
        <w:tc>
          <w:tcPr>
            <w:tcW w:w="3490" w:type="dxa"/>
            <w:vMerge w:val="continue"/>
            <w:vAlign w:val="center"/>
          </w:tcPr>
          <w:p>
            <w:pPr>
              <w:widowControl/>
              <w:adjustRightInd w:val="0"/>
              <w:snapToGrid w:val="0"/>
              <w:jc w:val="center"/>
              <w:rPr>
                <w:rFonts w:ascii="Times New Roman" w:hAnsi="Times New Roman" w:eastAsia="仿宋_GB2312"/>
                <w:b/>
                <w:kern w:val="0"/>
                <w:sz w:val="18"/>
                <w:szCs w:val="18"/>
              </w:rPr>
            </w:pPr>
          </w:p>
        </w:tc>
        <w:tc>
          <w:tcPr>
            <w:tcW w:w="1645" w:type="dxa"/>
            <w:vMerge w:val="continue"/>
            <w:vAlign w:val="center"/>
          </w:tcPr>
          <w:p>
            <w:pPr>
              <w:widowControl/>
              <w:adjustRightInd w:val="0"/>
              <w:snapToGrid w:val="0"/>
              <w:jc w:val="center"/>
              <w:rPr>
                <w:rFonts w:ascii="Times New Roman" w:hAnsi="Times New Roman" w:eastAsia="仿宋_GB2312"/>
                <w:b/>
                <w:kern w:val="0"/>
                <w:sz w:val="18"/>
                <w:szCs w:val="18"/>
              </w:rPr>
            </w:pPr>
          </w:p>
        </w:tc>
        <w:tc>
          <w:tcPr>
            <w:tcW w:w="1385" w:type="dxa"/>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符合</w:t>
            </w:r>
          </w:p>
        </w:tc>
        <w:tc>
          <w:tcPr>
            <w:tcW w:w="1416" w:type="dxa"/>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基本符合</w:t>
            </w:r>
          </w:p>
        </w:tc>
        <w:tc>
          <w:tcPr>
            <w:tcW w:w="1279" w:type="dxa"/>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不符合</w:t>
            </w:r>
          </w:p>
        </w:tc>
        <w:tc>
          <w:tcPr>
            <w:tcW w:w="1136" w:type="dxa"/>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合理缺项</w:t>
            </w:r>
          </w:p>
        </w:tc>
        <w:tc>
          <w:tcPr>
            <w:tcW w:w="425" w:type="dxa"/>
            <w:vMerge w:val="continue"/>
            <w:vAlign w:val="center"/>
          </w:tcPr>
          <w:p>
            <w:pPr>
              <w:widowControl/>
              <w:adjustRightInd w:val="0"/>
              <w:snapToGrid w:val="0"/>
              <w:jc w:val="center"/>
              <w:rPr>
                <w:rFonts w:ascii="Times New Roman" w:hAnsi="Times New Roman" w:eastAsia="仿宋_GB2312"/>
                <w:b/>
                <w:kern w:val="0"/>
                <w:sz w:val="18"/>
                <w:szCs w:val="18"/>
              </w:rPr>
            </w:pPr>
          </w:p>
        </w:tc>
        <w:tc>
          <w:tcPr>
            <w:tcW w:w="996" w:type="dxa"/>
            <w:vMerge w:val="continue"/>
            <w:vAlign w:val="center"/>
          </w:tcPr>
          <w:p>
            <w:pPr>
              <w:widowControl/>
              <w:adjustRightInd w:val="0"/>
              <w:snapToGrid w:val="0"/>
              <w:jc w:val="left"/>
              <w:rPr>
                <w:rFonts w:ascii="仿宋_GB2312" w:hAnsi="Times New Roman" w:eastAsia="仿宋_GB2312"/>
                <w:b/>
                <w:kern w:val="0"/>
                <w:sz w:val="18"/>
                <w:szCs w:val="18"/>
              </w:rPr>
            </w:pPr>
          </w:p>
        </w:tc>
        <w:tc>
          <w:tcPr>
            <w:tcW w:w="381" w:type="dxa"/>
            <w:vMerge w:val="continue"/>
            <w:vAlign w:val="center"/>
          </w:tcPr>
          <w:p>
            <w:pPr>
              <w:widowControl/>
              <w:adjustRightInd w:val="0"/>
              <w:snapToGrid w:val="0"/>
              <w:jc w:val="center"/>
              <w:rPr>
                <w:rFonts w:ascii="Times New Roman" w:hAnsi="Times New Roman"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一、职业病防治管理措施</w:t>
            </w:r>
          </w:p>
        </w:tc>
        <w:tc>
          <w:tcPr>
            <w:tcW w:w="1172" w:type="dxa"/>
            <w:gridSpan w:val="2"/>
            <w:vAlign w:val="center"/>
          </w:tcPr>
          <w:p>
            <w:pPr>
              <w:numPr>
                <w:ilvl w:val="0"/>
                <w:numId w:val="1"/>
              </w:numPr>
              <w:tabs>
                <w:tab w:val="left" w:pos="253"/>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管理机构或者组织</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设置或者指定职业卫生管理机构或者组织。</w:t>
            </w:r>
            <w:r>
              <w:rPr>
                <w:rFonts w:hint="eastAsia" w:ascii="Times New Roman" w:hAnsi="Times New Roman" w:eastAsia="仿宋_GB2312"/>
                <w:kern w:val="0"/>
                <w:sz w:val="18"/>
                <w:szCs w:val="18"/>
              </w:rPr>
              <w:t>职业病危害严重或劳动者超过</w:t>
            </w:r>
            <w:r>
              <w:rPr>
                <w:rFonts w:ascii="Times New Roman" w:hAnsi="Times New Roman" w:eastAsia="仿宋_GB2312"/>
                <w:kern w:val="0"/>
                <w:sz w:val="18"/>
                <w:szCs w:val="18"/>
              </w:rPr>
              <w:t>100</w:t>
            </w:r>
            <w:r>
              <w:rPr>
                <w:rFonts w:hint="eastAsia" w:ascii="Times New Roman" w:hAnsi="Times New Roman" w:eastAsia="仿宋_GB2312"/>
                <w:kern w:val="0"/>
                <w:sz w:val="18"/>
                <w:szCs w:val="18"/>
              </w:rPr>
              <w:t>人的用人单位应设置或者指定职业卫生管理机构或者组织。</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查阅相关文件，文件应明确设置或指定职业卫生管理机构或者组织，并检查机构或组织工作开展情况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有职业卫生管理机构成立文件，职责清晰，且各部门能够按职责分工开展工作</w:t>
            </w:r>
          </w:p>
        </w:tc>
        <w:tc>
          <w:tcPr>
            <w:tcW w:w="1416"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有职业卫生管理机构成立文件，职责较清晰，各部门基本能够按职责分工开展工作</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无职业卫生管理机构成立文件；或职责不清晰，未履行相关职责</w:t>
            </w:r>
          </w:p>
        </w:tc>
        <w:tc>
          <w:tcPr>
            <w:tcW w:w="1136" w:type="dxa"/>
            <w:vAlign w:val="center"/>
          </w:tcPr>
          <w:p>
            <w:pPr>
              <w:widowControl/>
              <w:adjustRightInd w:val="0"/>
              <w:snapToGrid w:val="0"/>
              <w:rPr>
                <w:rFonts w:ascii="Times New Roman" w:hAnsi="Times New Roman" w:eastAsia="仿宋_GB2312"/>
                <w:kern w:val="0"/>
                <w:sz w:val="18"/>
                <w:szCs w:val="18"/>
              </w:rPr>
            </w:pP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widowControl/>
              <w:adjustRightInd w:val="0"/>
              <w:snapToGrid w:val="0"/>
              <w:rPr>
                <w:rFonts w:ascii="Times New Roman" w:hAnsi="Times New Roman" w:eastAsia="仿宋_GB2312"/>
                <w:kern w:val="0"/>
                <w:sz w:val="18"/>
                <w:szCs w:val="18"/>
              </w:rPr>
            </w:pPr>
          </w:p>
        </w:tc>
        <w:tc>
          <w:tcPr>
            <w:tcW w:w="1172" w:type="dxa"/>
            <w:gridSpan w:val="2"/>
            <w:vAlign w:val="center"/>
          </w:tcPr>
          <w:p>
            <w:pPr>
              <w:numPr>
                <w:ilvl w:val="0"/>
                <w:numId w:val="1"/>
              </w:numPr>
              <w:tabs>
                <w:tab w:val="left" w:pos="253"/>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管理人员</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配备专职职业卫生管理人员。职业病危害严重或劳动者超过</w:t>
            </w:r>
            <w:r>
              <w:rPr>
                <w:rFonts w:ascii="Times New Roman" w:hAnsi="Times New Roman" w:eastAsia="仿宋_GB2312"/>
                <w:sz w:val="18"/>
                <w:szCs w:val="18"/>
              </w:rPr>
              <w:t>100</w:t>
            </w:r>
            <w:r>
              <w:rPr>
                <w:rFonts w:hint="eastAsia" w:ascii="Times New Roman" w:hAnsi="Times New Roman" w:eastAsia="仿宋_GB2312"/>
                <w:sz w:val="18"/>
                <w:szCs w:val="18"/>
              </w:rPr>
              <w:t>人的企业应配备专职职业卫生管理人员。</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查阅管理人员任命文件，并核实管理人员的工作情况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有管理人员任命文件，按照要求开展职业卫生管理工作</w:t>
            </w:r>
          </w:p>
        </w:tc>
        <w:tc>
          <w:tcPr>
            <w:tcW w:w="1416"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有管理人员任命文件，基本按照要求开展职业卫生管理工作</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无管理人员任命文件；或未按要求开展职业卫生管理工作</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widowControl/>
              <w:adjustRightInd w:val="0"/>
              <w:snapToGrid w:val="0"/>
              <w:rPr>
                <w:rFonts w:ascii="Times New Roman" w:hAnsi="Times New Roman" w:eastAsia="仿宋_GB2312"/>
                <w:kern w:val="0"/>
                <w:sz w:val="18"/>
                <w:szCs w:val="18"/>
              </w:rPr>
            </w:pPr>
          </w:p>
        </w:tc>
        <w:tc>
          <w:tcPr>
            <w:tcW w:w="1172" w:type="dxa"/>
            <w:gridSpan w:val="2"/>
            <w:vAlign w:val="center"/>
          </w:tcPr>
          <w:p>
            <w:pPr>
              <w:numPr>
                <w:ilvl w:val="0"/>
                <w:numId w:val="1"/>
              </w:numPr>
              <w:tabs>
                <w:tab w:val="left" w:pos="253"/>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防治计划和实施方案</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制定年度职业病防治计划和实施方案。</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查阅职业病防治计划和实施方案，查看其可行性以及各项工作落实情况等</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制定有防治计划和实施方案，具有可操作性，并按计划落实</w:t>
            </w:r>
          </w:p>
        </w:tc>
        <w:tc>
          <w:tcPr>
            <w:tcW w:w="1416"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制定有防治计划和实施方案，具有一定的可操作性，基本按计划落实</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未制定防治计划和实施方案，或未按计划落实</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kern w:val="0"/>
                <w:sz w:val="18"/>
                <w:szCs w:val="18"/>
              </w:rPr>
            </w:pPr>
            <w:r>
              <w:rPr>
                <w:rFonts w:hint="eastAsia" w:ascii="仿宋_GB2312" w:hAnsi="Times New Roman" w:eastAsia="仿宋_GB2312"/>
                <w:sz w:val="18"/>
                <w:szCs w:val="18"/>
              </w:rPr>
              <w:t>□基本符合□不符合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widowControl/>
              <w:adjustRightInd w:val="0"/>
              <w:snapToGrid w:val="0"/>
              <w:rPr>
                <w:rFonts w:ascii="Times New Roman" w:hAnsi="Times New Roman" w:eastAsia="仿宋_GB2312"/>
                <w:kern w:val="0"/>
                <w:sz w:val="18"/>
                <w:szCs w:val="18"/>
              </w:rPr>
            </w:pPr>
          </w:p>
        </w:tc>
        <w:tc>
          <w:tcPr>
            <w:tcW w:w="1172" w:type="dxa"/>
            <w:gridSpan w:val="2"/>
            <w:vAlign w:val="center"/>
          </w:tcPr>
          <w:p>
            <w:pPr>
              <w:numPr>
                <w:ilvl w:val="0"/>
                <w:numId w:val="1"/>
              </w:numPr>
              <w:tabs>
                <w:tab w:val="left" w:pos="253"/>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制度和操作规程</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建立健全职业卫生管理制度和操作规程。具体包括：</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(1)</w:t>
            </w:r>
            <w:r>
              <w:rPr>
                <w:rFonts w:hint="eastAsia" w:ascii="Times New Roman" w:hAnsi="Times New Roman" w:eastAsia="仿宋_GB2312"/>
                <w:sz w:val="18"/>
                <w:szCs w:val="18"/>
              </w:rPr>
              <w:t>职业病危害防治责任制度；</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职业病危害警示与告知制度；</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(3)</w:t>
            </w:r>
            <w:r>
              <w:rPr>
                <w:rFonts w:hint="eastAsia" w:ascii="Times New Roman" w:hAnsi="Times New Roman" w:eastAsia="仿宋_GB2312"/>
                <w:sz w:val="18"/>
                <w:szCs w:val="18"/>
              </w:rPr>
              <w:t>职业病危害项目申报制度；</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(4)</w:t>
            </w:r>
            <w:r>
              <w:rPr>
                <w:rFonts w:hint="eastAsia" w:ascii="Times New Roman" w:hAnsi="Times New Roman" w:eastAsia="仿宋_GB2312"/>
                <w:sz w:val="18"/>
                <w:szCs w:val="18"/>
              </w:rPr>
              <w:t>职业病防治宣传教育培训制度；</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(5)</w:t>
            </w:r>
            <w:r>
              <w:rPr>
                <w:rFonts w:hint="eastAsia" w:ascii="Times New Roman" w:hAnsi="Times New Roman" w:eastAsia="仿宋_GB2312"/>
                <w:sz w:val="18"/>
                <w:szCs w:val="18"/>
              </w:rPr>
              <w:t>职业病防护设施维护检修制度；</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(6)</w:t>
            </w:r>
            <w:r>
              <w:rPr>
                <w:rFonts w:hint="eastAsia" w:ascii="Times New Roman" w:hAnsi="Times New Roman" w:eastAsia="仿宋_GB2312"/>
                <w:sz w:val="18"/>
                <w:szCs w:val="18"/>
              </w:rPr>
              <w:t>职业病防护用品管理制度；</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(7)</w:t>
            </w:r>
            <w:r>
              <w:rPr>
                <w:rFonts w:hint="eastAsia" w:ascii="Times New Roman" w:hAnsi="Times New Roman" w:eastAsia="仿宋_GB2312"/>
                <w:sz w:val="18"/>
                <w:szCs w:val="18"/>
              </w:rPr>
              <w:t>职业病危害监测及评价管理制度；</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(8)</w:t>
            </w:r>
            <w:r>
              <w:rPr>
                <w:rFonts w:hint="eastAsia" w:ascii="Times New Roman" w:hAnsi="Times New Roman" w:eastAsia="仿宋_GB2312"/>
                <w:sz w:val="18"/>
                <w:szCs w:val="18"/>
              </w:rPr>
              <w:t>建设项目职业病防护设施</w:t>
            </w:r>
            <w:r>
              <w:rPr>
                <w:rFonts w:ascii="Times New Roman" w:hAnsi="Times New Roman" w:eastAsia="仿宋_GB2312"/>
                <w:sz w:val="18"/>
                <w:szCs w:val="18"/>
              </w:rPr>
              <w:t>“</w:t>
            </w:r>
            <w:r>
              <w:rPr>
                <w:rFonts w:hint="eastAsia" w:ascii="Times New Roman" w:hAnsi="Times New Roman" w:eastAsia="仿宋_GB2312"/>
                <w:sz w:val="18"/>
                <w:szCs w:val="18"/>
              </w:rPr>
              <w:t>三同时</w:t>
            </w:r>
            <w:r>
              <w:rPr>
                <w:rFonts w:ascii="Times New Roman" w:hAnsi="Times New Roman" w:eastAsia="仿宋_GB2312"/>
                <w:sz w:val="18"/>
                <w:szCs w:val="18"/>
              </w:rPr>
              <w:t>”</w:t>
            </w:r>
            <w:r>
              <w:rPr>
                <w:rFonts w:hint="eastAsia" w:ascii="Times New Roman" w:hAnsi="Times New Roman" w:eastAsia="仿宋_GB2312"/>
                <w:sz w:val="18"/>
                <w:szCs w:val="18"/>
              </w:rPr>
              <w:t>管理制度；</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(9)</w:t>
            </w:r>
            <w:r>
              <w:rPr>
                <w:rFonts w:hint="eastAsia" w:ascii="Times New Roman" w:hAnsi="Times New Roman" w:eastAsia="仿宋_GB2312"/>
                <w:sz w:val="18"/>
                <w:szCs w:val="18"/>
              </w:rPr>
              <w:t>劳动者职业健康监护及其档案管理制度；</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(10)</w:t>
            </w:r>
            <w:r>
              <w:rPr>
                <w:rFonts w:hint="eastAsia" w:ascii="Times New Roman" w:hAnsi="Times New Roman" w:eastAsia="仿宋_GB2312"/>
                <w:sz w:val="18"/>
                <w:szCs w:val="18"/>
              </w:rPr>
              <w:t>职业病危害事故处置与报告制度；</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(11)</w:t>
            </w:r>
            <w:r>
              <w:rPr>
                <w:rFonts w:hint="eastAsia" w:ascii="Times New Roman" w:hAnsi="Times New Roman" w:eastAsia="仿宋_GB2312"/>
                <w:sz w:val="18"/>
                <w:szCs w:val="18"/>
              </w:rPr>
              <w:t>职业病危害应急救援与管理制度；</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(12)</w:t>
            </w:r>
            <w:r>
              <w:rPr>
                <w:rFonts w:hint="eastAsia" w:ascii="Times New Roman" w:hAnsi="Times New Roman" w:eastAsia="仿宋_GB2312"/>
                <w:sz w:val="18"/>
                <w:szCs w:val="18"/>
              </w:rPr>
              <w:t>岗位职业卫生操作规程；</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(13)</w:t>
            </w:r>
            <w:r>
              <w:rPr>
                <w:rFonts w:hint="eastAsia" w:ascii="Times New Roman" w:hAnsi="Times New Roman" w:eastAsia="仿宋_GB2312"/>
                <w:sz w:val="18"/>
                <w:szCs w:val="18"/>
              </w:rPr>
              <w:t>法律、法规、规章规定的其他职业病防治制度。</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查阅制度、操作规程等文件，制度应明确责任部门和管理要求，且符合自身特点，满足管理要求</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制度齐全；职责清晰；符合单位自身特点，具有可操作性</w:t>
            </w:r>
          </w:p>
        </w:tc>
        <w:tc>
          <w:tcPr>
            <w:tcW w:w="1416"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制度基本齐全</w:t>
            </w:r>
            <w:r>
              <w:rPr>
                <w:rFonts w:ascii="Times New Roman" w:hAnsi="Times New Roman" w:eastAsia="仿宋_GB2312"/>
                <w:sz w:val="18"/>
                <w:szCs w:val="18"/>
              </w:rPr>
              <w:t>(</w:t>
            </w:r>
            <w:r>
              <w:rPr>
                <w:rFonts w:hint="eastAsia" w:ascii="Times New Roman" w:hAnsi="Times New Roman" w:eastAsia="仿宋_GB2312"/>
                <w:sz w:val="18"/>
                <w:szCs w:val="18"/>
              </w:rPr>
              <w:t>缺少</w:t>
            </w:r>
            <w:r>
              <w:rPr>
                <w:rFonts w:ascii="Times New Roman" w:hAnsi="Times New Roman" w:eastAsia="仿宋_GB2312"/>
                <w:sz w:val="18"/>
                <w:szCs w:val="18"/>
              </w:rPr>
              <w:t>1</w:t>
            </w:r>
            <w:r>
              <w:rPr>
                <w:rFonts w:hint="eastAsia" w:ascii="Times New Roman" w:hAnsi="Times New Roman" w:eastAsia="仿宋_GB2312"/>
                <w:sz w:val="18"/>
                <w:szCs w:val="18"/>
              </w:rPr>
              <w:t>～</w:t>
            </w:r>
            <w:r>
              <w:rPr>
                <w:rFonts w:ascii="Times New Roman" w:hAnsi="Times New Roman" w:eastAsia="仿宋_GB2312"/>
                <w:sz w:val="18"/>
                <w:szCs w:val="18"/>
              </w:rPr>
              <w:t>3</w:t>
            </w:r>
            <w:r>
              <w:rPr>
                <w:rFonts w:hint="eastAsia" w:ascii="Times New Roman" w:hAnsi="Times New Roman" w:eastAsia="仿宋_GB2312"/>
                <w:sz w:val="18"/>
                <w:szCs w:val="18"/>
              </w:rPr>
              <w:t>项</w:t>
            </w:r>
            <w:r>
              <w:rPr>
                <w:rFonts w:ascii="Times New Roman" w:hAnsi="Times New Roman" w:eastAsia="仿宋_GB2312"/>
                <w:sz w:val="18"/>
                <w:szCs w:val="18"/>
              </w:rPr>
              <w:t>)</w:t>
            </w:r>
            <w:r>
              <w:rPr>
                <w:rFonts w:hint="eastAsia" w:ascii="Times New Roman" w:hAnsi="Times New Roman" w:eastAsia="仿宋_GB2312"/>
                <w:sz w:val="18"/>
                <w:szCs w:val="18"/>
              </w:rPr>
              <w:t>；职责较清晰；具有一定的可操作性</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制度不齐全</w:t>
            </w:r>
            <w:r>
              <w:rPr>
                <w:rFonts w:ascii="Times New Roman" w:hAnsi="Times New Roman" w:eastAsia="仿宋_GB2312"/>
                <w:sz w:val="18"/>
                <w:szCs w:val="18"/>
              </w:rPr>
              <w:t>(</w:t>
            </w:r>
            <w:r>
              <w:rPr>
                <w:rFonts w:hint="eastAsia" w:ascii="Times New Roman" w:hAnsi="Times New Roman" w:eastAsia="仿宋_GB2312"/>
                <w:sz w:val="18"/>
                <w:szCs w:val="18"/>
              </w:rPr>
              <w:t>缺少</w:t>
            </w:r>
            <w:r>
              <w:rPr>
                <w:rFonts w:ascii="Times New Roman" w:hAnsi="Times New Roman" w:eastAsia="仿宋_GB2312"/>
                <w:sz w:val="18"/>
                <w:szCs w:val="18"/>
              </w:rPr>
              <w:t>4</w:t>
            </w:r>
            <w:r>
              <w:rPr>
                <w:rFonts w:hint="eastAsia" w:ascii="Times New Roman" w:hAnsi="Times New Roman" w:eastAsia="仿宋_GB2312"/>
                <w:sz w:val="18"/>
                <w:szCs w:val="18"/>
              </w:rPr>
              <w:t>项及以上</w:t>
            </w:r>
            <w:r>
              <w:rPr>
                <w:rFonts w:ascii="Times New Roman" w:hAnsi="Times New Roman" w:eastAsia="仿宋_GB2312"/>
                <w:sz w:val="18"/>
                <w:szCs w:val="18"/>
              </w:rPr>
              <w:t>)</w:t>
            </w:r>
            <w:r>
              <w:rPr>
                <w:rFonts w:hint="eastAsia" w:ascii="Times New Roman" w:hAnsi="Times New Roman" w:eastAsia="仿宋_GB2312"/>
                <w:sz w:val="18"/>
                <w:szCs w:val="18"/>
              </w:rPr>
              <w:t>；或职责不清晰，或不具有可操作性</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kern w:val="0"/>
                <w:sz w:val="18"/>
                <w:szCs w:val="18"/>
              </w:rPr>
            </w:pPr>
            <w:r>
              <w:rPr>
                <w:rFonts w:hint="eastAsia" w:ascii="仿宋_GB2312" w:hAnsi="Times New Roman" w:eastAsia="仿宋_GB2312"/>
                <w:sz w:val="18"/>
                <w:szCs w:val="18"/>
              </w:rPr>
              <w:t>□基本符合□不符合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widowControl/>
              <w:adjustRightInd w:val="0"/>
              <w:snapToGrid w:val="0"/>
              <w:rPr>
                <w:rFonts w:ascii="Times New Roman" w:hAnsi="Times New Roman" w:eastAsia="仿宋_GB2312"/>
                <w:kern w:val="0"/>
                <w:sz w:val="18"/>
                <w:szCs w:val="18"/>
              </w:rPr>
            </w:pPr>
          </w:p>
        </w:tc>
        <w:tc>
          <w:tcPr>
            <w:tcW w:w="1172" w:type="dxa"/>
            <w:gridSpan w:val="2"/>
            <w:vAlign w:val="center"/>
          </w:tcPr>
          <w:p>
            <w:pPr>
              <w:numPr>
                <w:ilvl w:val="0"/>
                <w:numId w:val="1"/>
              </w:numPr>
              <w:tabs>
                <w:tab w:val="left" w:pos="253"/>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职业卫生档案</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建立健全职业卫生档案和劳动者健康监护档案。具体包括：</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(1)</w:t>
            </w:r>
            <w:r>
              <w:rPr>
                <w:rFonts w:hint="eastAsia" w:ascii="Times New Roman" w:hAnsi="Times New Roman" w:eastAsia="仿宋_GB2312"/>
                <w:sz w:val="18"/>
                <w:szCs w:val="18"/>
              </w:rPr>
              <w:t>建设项目职业病防护设施</w:t>
            </w:r>
            <w:r>
              <w:rPr>
                <w:rFonts w:ascii="Times New Roman" w:hAnsi="Times New Roman" w:eastAsia="仿宋_GB2312"/>
                <w:sz w:val="18"/>
                <w:szCs w:val="18"/>
              </w:rPr>
              <w:t>“</w:t>
            </w:r>
            <w:r>
              <w:rPr>
                <w:rFonts w:hint="eastAsia" w:ascii="Times New Roman" w:hAnsi="Times New Roman" w:eastAsia="仿宋_GB2312"/>
                <w:sz w:val="18"/>
                <w:szCs w:val="18"/>
              </w:rPr>
              <w:t>三同时</w:t>
            </w:r>
            <w:r>
              <w:rPr>
                <w:rFonts w:ascii="Times New Roman" w:hAnsi="Times New Roman" w:eastAsia="仿宋_GB2312"/>
                <w:sz w:val="18"/>
                <w:szCs w:val="18"/>
              </w:rPr>
              <w:t>”</w:t>
            </w:r>
            <w:r>
              <w:rPr>
                <w:rFonts w:hint="eastAsia" w:ascii="Times New Roman" w:hAnsi="Times New Roman" w:eastAsia="仿宋_GB2312"/>
                <w:sz w:val="18"/>
                <w:szCs w:val="18"/>
              </w:rPr>
              <w:t>档案；</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职业卫生管理档案；</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(3)</w:t>
            </w:r>
            <w:r>
              <w:rPr>
                <w:rFonts w:hint="eastAsia" w:ascii="Times New Roman" w:hAnsi="Times New Roman" w:eastAsia="仿宋_GB2312"/>
                <w:sz w:val="18"/>
                <w:szCs w:val="18"/>
              </w:rPr>
              <w:t>职业卫生宣传培训档案；</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(4)</w:t>
            </w:r>
            <w:r>
              <w:rPr>
                <w:rFonts w:hint="eastAsia" w:ascii="Times New Roman" w:hAnsi="Times New Roman" w:eastAsia="仿宋_GB2312"/>
                <w:sz w:val="18"/>
                <w:szCs w:val="18"/>
              </w:rPr>
              <w:t>职业病危害因素监测与检测评价档案；</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(5)</w:t>
            </w:r>
            <w:r>
              <w:rPr>
                <w:rFonts w:hint="eastAsia" w:ascii="Times New Roman" w:hAnsi="Times New Roman" w:eastAsia="仿宋_GB2312"/>
                <w:sz w:val="18"/>
                <w:szCs w:val="18"/>
              </w:rPr>
              <w:t>用人单位职业健康监护管理档案；</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(6)</w:t>
            </w:r>
            <w:r>
              <w:rPr>
                <w:rFonts w:hint="eastAsia" w:ascii="Times New Roman" w:hAnsi="Times New Roman" w:eastAsia="仿宋_GB2312"/>
                <w:sz w:val="18"/>
                <w:szCs w:val="18"/>
              </w:rPr>
              <w:t>劳动者个人职业健康监护档案；</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(7)</w:t>
            </w:r>
            <w:r>
              <w:rPr>
                <w:rFonts w:hint="eastAsia" w:ascii="Times New Roman" w:hAnsi="Times New Roman" w:eastAsia="仿宋_GB2312"/>
                <w:sz w:val="18"/>
                <w:szCs w:val="18"/>
              </w:rPr>
              <w:t>法律、行政法规、规章要求的其他资料文件。</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检查档案内容的完整性和符合性</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档案种类齐全、内容完整，符合职业卫生档案管理要求</w:t>
            </w:r>
          </w:p>
        </w:tc>
        <w:tc>
          <w:tcPr>
            <w:tcW w:w="1416"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档案种类基本齐全</w:t>
            </w:r>
            <w:r>
              <w:rPr>
                <w:rFonts w:ascii="Times New Roman" w:hAnsi="Times New Roman" w:eastAsia="仿宋_GB2312"/>
                <w:sz w:val="18"/>
                <w:szCs w:val="18"/>
              </w:rPr>
              <w:t>(</w:t>
            </w:r>
            <w:r>
              <w:rPr>
                <w:rFonts w:hint="eastAsia" w:ascii="Times New Roman" w:hAnsi="Times New Roman" w:eastAsia="仿宋_GB2312"/>
                <w:sz w:val="18"/>
                <w:szCs w:val="18"/>
              </w:rPr>
              <w:t>缺少</w:t>
            </w:r>
            <w:r>
              <w:rPr>
                <w:rFonts w:ascii="Times New Roman" w:hAnsi="Times New Roman" w:eastAsia="仿宋_GB2312"/>
                <w:sz w:val="18"/>
                <w:szCs w:val="18"/>
              </w:rPr>
              <w:t>1</w:t>
            </w:r>
            <w:r>
              <w:rPr>
                <w:rFonts w:hint="eastAsia" w:ascii="Times New Roman" w:hAnsi="Times New Roman" w:eastAsia="仿宋_GB2312"/>
                <w:sz w:val="18"/>
                <w:szCs w:val="18"/>
              </w:rPr>
              <w:t>～</w:t>
            </w:r>
            <w:r>
              <w:rPr>
                <w:rFonts w:ascii="Times New Roman" w:hAnsi="Times New Roman" w:eastAsia="仿宋_GB2312"/>
                <w:sz w:val="18"/>
                <w:szCs w:val="18"/>
              </w:rPr>
              <w:t>2</w:t>
            </w:r>
            <w:r>
              <w:rPr>
                <w:rFonts w:hint="eastAsia" w:ascii="Times New Roman" w:hAnsi="Times New Roman" w:eastAsia="仿宋_GB2312"/>
                <w:sz w:val="18"/>
                <w:szCs w:val="18"/>
              </w:rPr>
              <w:t>项</w:t>
            </w:r>
            <w:r>
              <w:rPr>
                <w:rFonts w:ascii="Times New Roman" w:hAnsi="Times New Roman" w:eastAsia="仿宋_GB2312"/>
                <w:sz w:val="18"/>
                <w:szCs w:val="18"/>
              </w:rPr>
              <w:t>)</w:t>
            </w:r>
            <w:r>
              <w:rPr>
                <w:rFonts w:hint="eastAsia" w:ascii="Times New Roman" w:hAnsi="Times New Roman" w:eastAsia="仿宋_GB2312"/>
                <w:sz w:val="18"/>
                <w:szCs w:val="18"/>
              </w:rPr>
              <w:t>、内容基本完整，基本符合档案管理要求</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档案种类不齐全</w:t>
            </w:r>
            <w:r>
              <w:rPr>
                <w:rFonts w:ascii="Times New Roman" w:hAnsi="Times New Roman" w:eastAsia="仿宋_GB2312"/>
                <w:sz w:val="18"/>
                <w:szCs w:val="18"/>
              </w:rPr>
              <w:t>(</w:t>
            </w:r>
            <w:r>
              <w:rPr>
                <w:rFonts w:hint="eastAsia" w:ascii="Times New Roman" w:hAnsi="Times New Roman" w:eastAsia="仿宋_GB2312"/>
                <w:sz w:val="18"/>
                <w:szCs w:val="18"/>
              </w:rPr>
              <w:t>缺少</w:t>
            </w:r>
            <w:r>
              <w:rPr>
                <w:rFonts w:ascii="Times New Roman" w:hAnsi="Times New Roman" w:eastAsia="仿宋_GB2312"/>
                <w:sz w:val="18"/>
                <w:szCs w:val="18"/>
              </w:rPr>
              <w:t>3</w:t>
            </w:r>
            <w:r>
              <w:rPr>
                <w:rFonts w:hint="eastAsia" w:ascii="Times New Roman" w:hAnsi="Times New Roman" w:eastAsia="仿宋_GB2312"/>
                <w:sz w:val="18"/>
                <w:szCs w:val="18"/>
              </w:rPr>
              <w:t>项及以上</w:t>
            </w:r>
            <w:r>
              <w:rPr>
                <w:rFonts w:ascii="Times New Roman" w:hAnsi="Times New Roman" w:eastAsia="仿宋_GB2312"/>
                <w:sz w:val="18"/>
                <w:szCs w:val="18"/>
              </w:rPr>
              <w:t>)</w:t>
            </w:r>
            <w:r>
              <w:rPr>
                <w:rFonts w:hint="eastAsia" w:ascii="Times New Roman" w:hAnsi="Times New Roman" w:eastAsia="仿宋_GB2312"/>
                <w:sz w:val="18"/>
                <w:szCs w:val="18"/>
              </w:rPr>
              <w:t>，内容缺项较多，不符合档案管理要求</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vAlign w:val="center"/>
          </w:tcPr>
          <w:p>
            <w:pPr>
              <w:tabs>
                <w:tab w:val="left" w:pos="253"/>
              </w:tabs>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二、职业病危害项目申报</w:t>
            </w:r>
          </w:p>
        </w:tc>
        <w:tc>
          <w:tcPr>
            <w:tcW w:w="1172" w:type="dxa"/>
            <w:gridSpan w:val="2"/>
            <w:vAlign w:val="center"/>
          </w:tcPr>
          <w:p>
            <w:pPr>
              <w:numPr>
                <w:ilvl w:val="0"/>
                <w:numId w:val="1"/>
              </w:numPr>
              <w:tabs>
                <w:tab w:val="left" w:pos="253"/>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职业病危害项目申报</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工作场所存在职业病目录所列职业病的危害因素的，应当及时、如实向所在地卫生健康主管部门申报危害项目，接受监督。</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查看申报回执或查询申报系统；查看申报内容与实际是否相符</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按要求进行申报；申报内容与实际相符</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未进行申报；或申报内容与实际严重不符</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widowControl/>
              <w:adjustRightInd w:val="0"/>
              <w:snapToGrid w:val="0"/>
              <w:rPr>
                <w:rFonts w:ascii="Times New Roman" w:hAnsi="Times New Roman" w:eastAsia="仿宋_GB2312"/>
                <w:kern w:val="0"/>
                <w:sz w:val="18"/>
                <w:szCs w:val="18"/>
              </w:rPr>
            </w:pPr>
          </w:p>
        </w:tc>
        <w:tc>
          <w:tcPr>
            <w:tcW w:w="1172" w:type="dxa"/>
            <w:gridSpan w:val="2"/>
            <w:vAlign w:val="center"/>
          </w:tcPr>
          <w:p>
            <w:pPr>
              <w:numPr>
                <w:ilvl w:val="0"/>
                <w:numId w:val="1"/>
              </w:numPr>
              <w:tabs>
                <w:tab w:val="left" w:pos="253"/>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变更申报</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重要事项变化时及时进行变更申报。</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查阅技术、工艺、材料变更的相关资料；查阅申报表，核对职业病危害因素检测和评价报告，现场检查接害岗位和接害因素情况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按要求进行变更申报；且申报内容与实际相符</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未按要求进行变更申报；或申报内容与实际严重不符</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上次申报后无</w:t>
            </w:r>
            <w:r>
              <w:rPr>
                <w:rFonts w:hint="eastAsia" w:ascii="Times New Roman" w:hAnsi="Times New Roman" w:eastAsia="仿宋_GB2312"/>
                <w:sz w:val="18"/>
                <w:szCs w:val="18"/>
              </w:rPr>
              <w:t>重要事项变化</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三、</w:t>
            </w:r>
            <w:r>
              <w:rPr>
                <w:rFonts w:ascii="Times New Roman" w:hAnsi="Times New Roman" w:eastAsia="仿宋_GB2312"/>
                <w:sz w:val="18"/>
                <w:szCs w:val="18"/>
              </w:rPr>
              <w:t xml:space="preserve"> </w:t>
            </w:r>
            <w:r>
              <w:rPr>
                <w:rFonts w:hint="eastAsia" w:ascii="Times New Roman" w:hAnsi="Times New Roman" w:eastAsia="仿宋_GB2312"/>
                <w:sz w:val="18"/>
                <w:szCs w:val="18"/>
              </w:rPr>
              <w:t>建设项目职业病防护设施</w:t>
            </w:r>
            <w:r>
              <w:rPr>
                <w:rFonts w:ascii="Times New Roman" w:hAnsi="Times New Roman" w:eastAsia="仿宋_GB2312"/>
                <w:sz w:val="18"/>
                <w:szCs w:val="18"/>
              </w:rPr>
              <w:t>“</w:t>
            </w:r>
            <w:r>
              <w:rPr>
                <w:rFonts w:hint="eastAsia" w:ascii="Times New Roman" w:hAnsi="Times New Roman" w:eastAsia="仿宋_GB2312"/>
                <w:sz w:val="18"/>
                <w:szCs w:val="18"/>
              </w:rPr>
              <w:t>三同时</w:t>
            </w:r>
            <w:r>
              <w:rPr>
                <w:rFonts w:ascii="Times New Roman" w:hAnsi="Times New Roman" w:eastAsia="仿宋_GB2312"/>
                <w:sz w:val="18"/>
                <w:szCs w:val="18"/>
              </w:rPr>
              <w:t>”</w:t>
            </w:r>
          </w:p>
        </w:tc>
        <w:tc>
          <w:tcPr>
            <w:tcW w:w="411" w:type="dxa"/>
            <w:vMerge w:val="restart"/>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预评价</w:t>
            </w:r>
          </w:p>
        </w:tc>
        <w:tc>
          <w:tcPr>
            <w:tcW w:w="761" w:type="dxa"/>
            <w:vAlign w:val="center"/>
          </w:tcPr>
          <w:p>
            <w:pPr>
              <w:numPr>
                <w:ilvl w:val="0"/>
                <w:numId w:val="1"/>
              </w:numPr>
              <w:tabs>
                <w:tab w:val="left" w:pos="253"/>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预评价报告</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在建设项目可行性论证阶段进行职业病危害预评价，编制预评价报告。</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查阅近</w:t>
            </w:r>
            <w:r>
              <w:rPr>
                <w:rFonts w:hint="eastAsia" w:ascii="Times New Roman" w:hAnsi="Times New Roman" w:eastAsia="仿宋_GB2312"/>
                <w:kern w:val="0"/>
                <w:sz w:val="18"/>
                <w:szCs w:val="18"/>
              </w:rPr>
              <w:t>两</w:t>
            </w:r>
            <w:r>
              <w:rPr>
                <w:rFonts w:hint="eastAsia" w:ascii="Times New Roman" w:hAnsi="Times New Roman" w:eastAsia="仿宋_GB2312"/>
                <w:sz w:val="18"/>
                <w:szCs w:val="18"/>
              </w:rPr>
              <w:t>年建设项目清单及职业病危害预评价开展情况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按要求编制职业病危害预评价报告</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未按要求编制职业病危害预评价报告</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continue"/>
            <w:vAlign w:val="center"/>
          </w:tcPr>
          <w:p>
            <w:pPr>
              <w:widowControl/>
              <w:adjustRightInd w:val="0"/>
              <w:snapToGrid w:val="0"/>
              <w:rPr>
                <w:rFonts w:ascii="Times New Roman" w:hAnsi="Times New Roman" w:eastAsia="仿宋_GB2312"/>
                <w:kern w:val="0"/>
                <w:sz w:val="18"/>
                <w:szCs w:val="18"/>
              </w:rPr>
            </w:pPr>
          </w:p>
        </w:tc>
        <w:tc>
          <w:tcPr>
            <w:tcW w:w="761" w:type="dxa"/>
            <w:vAlign w:val="center"/>
          </w:tcPr>
          <w:p>
            <w:pPr>
              <w:numPr>
                <w:ilvl w:val="0"/>
                <w:numId w:val="1"/>
              </w:numPr>
              <w:tabs>
                <w:tab w:val="left" w:pos="253"/>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报告评审及整改</w:t>
            </w:r>
          </w:p>
        </w:tc>
        <w:tc>
          <w:tcPr>
            <w:tcW w:w="3490" w:type="dxa"/>
            <w:vAlign w:val="center"/>
          </w:tcPr>
          <w:p>
            <w:pPr>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对职业病危害预评价报告进行评审，形成评审意见。</w:t>
            </w:r>
          </w:p>
          <w:p>
            <w:pPr>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按照评审意见对职业病危害预评价报告进行修改完善，对最终的职业病危害预评价报告的真实性、客观性和合规性负责。</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查阅评价单位资质、评审专家组成、评审会相关材料及整改完善情况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评审资料齐全，评审程序符合要求，并按要求整改完善</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评审资料不全；或程序不符合要求；或未按要求整改完善</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continue"/>
            <w:vAlign w:val="center"/>
          </w:tcPr>
          <w:p>
            <w:pPr>
              <w:widowControl/>
              <w:adjustRightInd w:val="0"/>
              <w:snapToGrid w:val="0"/>
              <w:rPr>
                <w:rFonts w:ascii="Times New Roman" w:hAnsi="Times New Roman" w:eastAsia="仿宋_GB2312"/>
                <w:kern w:val="0"/>
                <w:sz w:val="18"/>
                <w:szCs w:val="18"/>
              </w:rPr>
            </w:pPr>
          </w:p>
        </w:tc>
        <w:tc>
          <w:tcPr>
            <w:tcW w:w="761" w:type="dxa"/>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书面报告备查</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职业病危害预评价工作过程形成书面报告备查。</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查阅预评价工作过程报告</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按要求编制工作过程报告</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缺少工作过程报告</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continue"/>
            <w:vAlign w:val="center"/>
          </w:tcPr>
          <w:p>
            <w:pPr>
              <w:widowControl/>
              <w:adjustRightInd w:val="0"/>
              <w:snapToGrid w:val="0"/>
              <w:rPr>
                <w:rFonts w:ascii="Times New Roman" w:hAnsi="Times New Roman" w:eastAsia="仿宋_GB2312"/>
                <w:kern w:val="0"/>
                <w:sz w:val="18"/>
                <w:szCs w:val="18"/>
              </w:rPr>
            </w:pPr>
          </w:p>
        </w:tc>
        <w:tc>
          <w:tcPr>
            <w:tcW w:w="761" w:type="dxa"/>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项目变更</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建设项目的生产规模、工艺等发生变更导致职业病危害风险发生重大变化的，对变更内容重新进行职业病危害预评价和评审。</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对照原评价报告，检查建设项目的生产规模、工艺、职业病危害因素的种类、职业病防护设施等，查阅是否发生重大变更</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发生重大变更且按要求重新进行职业病危害预评价和评审</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发生重大变更但未按要求重新进行职业病危害预评价和评审</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无建设项目或建设项目无变更</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restart"/>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职业病防护设施设计</w:t>
            </w:r>
          </w:p>
        </w:tc>
        <w:tc>
          <w:tcPr>
            <w:tcW w:w="761" w:type="dxa"/>
            <w:vAlign w:val="center"/>
          </w:tcPr>
          <w:p>
            <w:pPr>
              <w:numPr>
                <w:ilvl w:val="0"/>
                <w:numId w:val="1"/>
              </w:numPr>
              <w:tabs>
                <w:tab w:val="left" w:pos="320"/>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职业病防护设施设计</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在施工前按照职业病防治有关法律、法规、规章和标准的要求，进行职业病防护设施设计。</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查阅近两年建设项目清单及职业病防护设施设计开展情况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按要求进行职业病防护设施设计</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未按要求进行职业病防护设施设计</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continue"/>
            <w:vAlign w:val="center"/>
          </w:tcPr>
          <w:p>
            <w:pPr>
              <w:widowControl/>
              <w:adjustRightInd w:val="0"/>
              <w:snapToGrid w:val="0"/>
              <w:rPr>
                <w:rFonts w:ascii="Times New Roman" w:hAnsi="Times New Roman" w:eastAsia="仿宋_GB2312"/>
                <w:kern w:val="0"/>
                <w:sz w:val="18"/>
                <w:szCs w:val="18"/>
              </w:rPr>
            </w:pPr>
          </w:p>
        </w:tc>
        <w:tc>
          <w:tcPr>
            <w:tcW w:w="761" w:type="dxa"/>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设计评审及整改</w:t>
            </w:r>
          </w:p>
        </w:tc>
        <w:tc>
          <w:tcPr>
            <w:tcW w:w="3490" w:type="dxa"/>
            <w:vAlign w:val="center"/>
          </w:tcPr>
          <w:p>
            <w:pPr>
              <w:adjustRightInd w:val="0"/>
              <w:snapToGrid w:val="0"/>
              <w:rPr>
                <w:rFonts w:ascii="Times New Roman" w:hAnsi="Times New Roman" w:eastAsia="仿宋_GB2312"/>
                <w:sz w:val="18"/>
                <w:szCs w:val="18"/>
              </w:rPr>
            </w:pPr>
            <w:r>
              <w:rPr>
                <w:rFonts w:ascii="Times New Roman" w:hAnsi="Times New Roman" w:eastAsia="仿宋_GB2312"/>
                <w:sz w:val="18"/>
                <w:szCs w:val="18"/>
              </w:rPr>
              <w:t>(1)</w:t>
            </w:r>
            <w:r>
              <w:rPr>
                <w:rFonts w:hint="eastAsia" w:ascii="Times New Roman" w:hAnsi="Times New Roman" w:eastAsia="仿宋_GB2312"/>
                <w:sz w:val="18"/>
                <w:szCs w:val="18"/>
              </w:rPr>
              <w:t>对职业病防护设施设计进行评审，形成评审意见。</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按照评审意见对职业病防护设施设计进行修改完善，对最终的职业病防护设施设计的真实性、客观性和合规性负责。</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查看评审专家组成、评审会相关材料及整改完善情况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评审资料齐全，评审程序符合要求，并按要求整改完善</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评审资料不全；或程序不符合要求；或未按要求整改完善</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continue"/>
            <w:vAlign w:val="center"/>
          </w:tcPr>
          <w:p>
            <w:pPr>
              <w:widowControl/>
              <w:adjustRightInd w:val="0"/>
              <w:snapToGrid w:val="0"/>
              <w:rPr>
                <w:rFonts w:ascii="Times New Roman" w:hAnsi="Times New Roman" w:eastAsia="仿宋_GB2312"/>
                <w:kern w:val="0"/>
                <w:sz w:val="18"/>
                <w:szCs w:val="18"/>
              </w:rPr>
            </w:pPr>
          </w:p>
        </w:tc>
        <w:tc>
          <w:tcPr>
            <w:tcW w:w="761" w:type="dxa"/>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书面报告备查</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职业病防护设施设计工作过程形成书面报告备查。</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查阅职业病防护设施设计工作过程报告</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按要求编制工作过程报告</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缺少工作过程报告</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continue"/>
            <w:vAlign w:val="center"/>
          </w:tcPr>
          <w:p>
            <w:pPr>
              <w:widowControl/>
              <w:adjustRightInd w:val="0"/>
              <w:snapToGrid w:val="0"/>
              <w:rPr>
                <w:rFonts w:ascii="Times New Roman" w:hAnsi="Times New Roman" w:eastAsia="仿宋_GB2312"/>
                <w:kern w:val="0"/>
                <w:sz w:val="18"/>
                <w:szCs w:val="18"/>
              </w:rPr>
            </w:pPr>
          </w:p>
        </w:tc>
        <w:tc>
          <w:tcPr>
            <w:tcW w:w="761" w:type="dxa"/>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项目变更</w:t>
            </w:r>
          </w:p>
        </w:tc>
        <w:tc>
          <w:tcPr>
            <w:tcW w:w="3490"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建设项目的生产规模、工艺等发生变更导致职业病危害风险发生重大变化的，对变更的内容重新进行职业病防护设施设计和评审。</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对照原职业病防护设施设计，检查建设项目的生产规模、工艺、职业病危害因素的种类、职业病防护设施等，查看是否发生重大变更</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发生重大变更且按要求重新进行职业病防护设施设计和评审</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发生重大变更但未按要求重新进行职业病防护设施设计和评审</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无建设项目或建设项目无变更</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restart"/>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职业病危害控制效果评价和防护设施验收</w:t>
            </w:r>
          </w:p>
        </w:tc>
        <w:tc>
          <w:tcPr>
            <w:tcW w:w="761" w:type="dxa"/>
            <w:vAlign w:val="center"/>
          </w:tcPr>
          <w:p>
            <w:pPr>
              <w:numPr>
                <w:ilvl w:val="0"/>
                <w:numId w:val="1"/>
              </w:numPr>
              <w:tabs>
                <w:tab w:val="left" w:pos="320"/>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控制效果评价报告</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建设项目在竣工验收前或者试运行期间，进行职业病危害控制效果评价，编制评价报告。</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查阅近两年建设项目清单及职业病危害控制效果评价开展情况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按要求进行职业病危害控制效果评价</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未按要求进行职业病危害控制效果评价</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2"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continue"/>
            <w:vAlign w:val="center"/>
          </w:tcPr>
          <w:p>
            <w:pPr>
              <w:widowControl/>
              <w:adjustRightInd w:val="0"/>
              <w:snapToGrid w:val="0"/>
              <w:rPr>
                <w:rFonts w:ascii="Times New Roman" w:hAnsi="Times New Roman" w:eastAsia="仿宋_GB2312"/>
                <w:kern w:val="0"/>
                <w:sz w:val="18"/>
                <w:szCs w:val="18"/>
              </w:rPr>
            </w:pPr>
          </w:p>
        </w:tc>
        <w:tc>
          <w:tcPr>
            <w:tcW w:w="761" w:type="dxa"/>
            <w:vAlign w:val="center"/>
          </w:tcPr>
          <w:p>
            <w:pPr>
              <w:numPr>
                <w:ilvl w:val="0"/>
                <w:numId w:val="1"/>
              </w:numPr>
              <w:tabs>
                <w:tab w:val="left" w:pos="320"/>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验收方案</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在职业病防护设施验收前，编制验收方案，并在验收前</w:t>
            </w:r>
            <w:r>
              <w:rPr>
                <w:rFonts w:ascii="Times New Roman" w:hAnsi="Times New Roman" w:eastAsia="仿宋_GB2312"/>
                <w:sz w:val="18"/>
                <w:szCs w:val="18"/>
              </w:rPr>
              <w:t>20</w:t>
            </w:r>
            <w:r>
              <w:rPr>
                <w:rFonts w:hint="eastAsia" w:ascii="Times New Roman" w:hAnsi="Times New Roman" w:eastAsia="仿宋_GB2312"/>
                <w:sz w:val="18"/>
                <w:szCs w:val="18"/>
              </w:rPr>
              <w:t>日将验收方案上报相关行政部门。</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查阅验收方案</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按要求编制验收方案，并上报相关行政部门</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未按要求编制验收方案；或未上报相关行政部门</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continue"/>
            <w:vAlign w:val="center"/>
          </w:tcPr>
          <w:p>
            <w:pPr>
              <w:widowControl/>
              <w:adjustRightInd w:val="0"/>
              <w:snapToGrid w:val="0"/>
              <w:rPr>
                <w:rFonts w:ascii="Times New Roman" w:hAnsi="Times New Roman" w:eastAsia="仿宋_GB2312"/>
                <w:kern w:val="0"/>
                <w:sz w:val="18"/>
                <w:szCs w:val="18"/>
              </w:rPr>
            </w:pPr>
          </w:p>
        </w:tc>
        <w:tc>
          <w:tcPr>
            <w:tcW w:w="761" w:type="dxa"/>
            <w:vAlign w:val="center"/>
          </w:tcPr>
          <w:p>
            <w:pPr>
              <w:numPr>
                <w:ilvl w:val="0"/>
                <w:numId w:val="1"/>
              </w:numPr>
              <w:tabs>
                <w:tab w:val="left" w:pos="320"/>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验收评审</w:t>
            </w:r>
          </w:p>
        </w:tc>
        <w:tc>
          <w:tcPr>
            <w:tcW w:w="3490" w:type="dxa"/>
            <w:vAlign w:val="center"/>
          </w:tcPr>
          <w:p>
            <w:pPr>
              <w:adjustRightInd w:val="0"/>
              <w:snapToGrid w:val="0"/>
              <w:rPr>
                <w:rFonts w:ascii="Times New Roman" w:hAnsi="Times New Roman" w:eastAsia="仿宋_GB2312"/>
                <w:sz w:val="18"/>
                <w:szCs w:val="18"/>
              </w:rPr>
            </w:pPr>
            <w:r>
              <w:rPr>
                <w:rFonts w:ascii="Times New Roman" w:hAnsi="Times New Roman" w:eastAsia="仿宋_GB2312"/>
                <w:sz w:val="18"/>
                <w:szCs w:val="18"/>
              </w:rPr>
              <w:t>(1)</w:t>
            </w:r>
            <w:r>
              <w:rPr>
                <w:rFonts w:hint="eastAsia" w:ascii="Times New Roman" w:hAnsi="Times New Roman" w:eastAsia="仿宋_GB2312"/>
                <w:sz w:val="18"/>
                <w:szCs w:val="18"/>
              </w:rPr>
              <w:t>对职业病危害控制效果评价报告进行评审以及对职业病防护设施进行验收，形成是否符合职业病防治有关法律、法规、规章和标准要求的评审意见和验收意见。</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按照评审与验收意见对职业病危害控制效果评价报告和职业病防护设施进行整改完善，并对最终的职业病危害控制效果评价报告和职业病防护设施验收结果的真实性、合规性和有效性负责。</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查阅评价单位资质、评审专家组成、评审会相关材料及整改完善情况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评审资料齐全，评审程序符合要求，并按要求进行整改完善</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评审资料不全；或程序不符合要求；或未按要求整改完善</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continue"/>
            <w:vAlign w:val="center"/>
          </w:tcPr>
          <w:p>
            <w:pPr>
              <w:widowControl/>
              <w:adjustRightInd w:val="0"/>
              <w:snapToGrid w:val="0"/>
              <w:rPr>
                <w:rFonts w:ascii="Times New Roman" w:hAnsi="Times New Roman" w:eastAsia="仿宋_GB2312"/>
                <w:kern w:val="0"/>
                <w:sz w:val="18"/>
                <w:szCs w:val="18"/>
              </w:rPr>
            </w:pPr>
          </w:p>
        </w:tc>
        <w:tc>
          <w:tcPr>
            <w:tcW w:w="761" w:type="dxa"/>
            <w:vAlign w:val="center"/>
          </w:tcPr>
          <w:p>
            <w:pPr>
              <w:numPr>
                <w:ilvl w:val="0"/>
                <w:numId w:val="1"/>
              </w:numPr>
              <w:tabs>
                <w:tab w:val="left" w:pos="320"/>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过程总结报告</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将职业病危害控制效果评价和职业病防护设施验收工作过程形成书面报告备查，其中职业病危害严重的建设项目应当在验收完成之日起</w:t>
            </w:r>
            <w:r>
              <w:rPr>
                <w:rFonts w:ascii="Times New Roman" w:hAnsi="Times New Roman" w:eastAsia="仿宋_GB2312"/>
                <w:sz w:val="18"/>
                <w:szCs w:val="18"/>
              </w:rPr>
              <w:t>20</w:t>
            </w:r>
            <w:r>
              <w:rPr>
                <w:rFonts w:hint="eastAsia" w:ascii="Times New Roman" w:hAnsi="Times New Roman" w:eastAsia="仿宋_GB2312"/>
                <w:sz w:val="18"/>
                <w:szCs w:val="18"/>
              </w:rPr>
              <w:t>日内向管辖该建设项目的行政部门提交书面报告。</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查阅职业病防护设施设计工作过程报告</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按要求编制工作过程报告；职业病危害严重的建设项目按要求提交书面报告</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缺少工作过程报告</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411" w:type="dxa"/>
            <w:vMerge w:val="continue"/>
            <w:vAlign w:val="center"/>
          </w:tcPr>
          <w:p>
            <w:pPr>
              <w:widowControl/>
              <w:adjustRightInd w:val="0"/>
              <w:snapToGrid w:val="0"/>
              <w:rPr>
                <w:rFonts w:ascii="Times New Roman" w:hAnsi="Times New Roman" w:eastAsia="仿宋_GB2312"/>
                <w:kern w:val="0"/>
                <w:sz w:val="18"/>
                <w:szCs w:val="18"/>
              </w:rPr>
            </w:pPr>
          </w:p>
        </w:tc>
        <w:tc>
          <w:tcPr>
            <w:tcW w:w="761" w:type="dxa"/>
            <w:vAlign w:val="center"/>
          </w:tcPr>
          <w:p>
            <w:pPr>
              <w:numPr>
                <w:ilvl w:val="0"/>
                <w:numId w:val="1"/>
              </w:numPr>
              <w:tabs>
                <w:tab w:val="left" w:pos="320"/>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分期验收</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分期建设、分期投入生产或者使用的建设项目，其配套的职业病防护设施应当分期与建设项目同步进行验收。</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查阅分期建设、分期投入生产或者使用的建设项目是否同步验收</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按要求同步进行职业病防护设施验收，评价报告、评审程序等符合要求</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未按要求同步进行职业病防护设施验收；或评价报告、评审程序等不符合要求</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近两年</w:t>
            </w:r>
            <w:r>
              <w:rPr>
                <w:rFonts w:hint="eastAsia" w:ascii="Times New Roman" w:hAnsi="Times New Roman" w:eastAsia="仿宋_GB2312"/>
                <w:kern w:val="0"/>
                <w:sz w:val="18"/>
                <w:szCs w:val="18"/>
              </w:rPr>
              <w:t>无建设项目或建设项目一次建设，未分期验收</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四、工作场所职业卫生条件</w:t>
            </w: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职业病危害因素浓度或强度</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工作场所职业病危害因素强度或者浓度符合国家职业卫生标准和行业标准的要求。</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查阅检测报告</w:t>
            </w:r>
            <w:r>
              <w:rPr>
                <w:rFonts w:ascii="Times New Roman" w:hAnsi="Times New Roman" w:eastAsia="仿宋_GB2312"/>
                <w:kern w:val="0"/>
                <w:sz w:val="18"/>
                <w:szCs w:val="18"/>
              </w:rPr>
              <w:t>(</w:t>
            </w:r>
            <w:r>
              <w:rPr>
                <w:rFonts w:hint="eastAsia" w:ascii="Times New Roman" w:hAnsi="Times New Roman" w:eastAsia="仿宋_GB2312"/>
                <w:kern w:val="0"/>
                <w:sz w:val="18"/>
                <w:szCs w:val="18"/>
              </w:rPr>
              <w:t>关注检测时工况与气象条件</w:t>
            </w:r>
            <w:r>
              <w:rPr>
                <w:rFonts w:ascii="Times New Roman" w:hAnsi="Times New Roman" w:eastAsia="仿宋_GB2312"/>
                <w:kern w:val="0"/>
                <w:sz w:val="18"/>
                <w:szCs w:val="18"/>
              </w:rPr>
              <w:t>)</w:t>
            </w:r>
            <w:r>
              <w:rPr>
                <w:rFonts w:hint="eastAsia" w:ascii="Times New Roman" w:hAnsi="Times New Roman" w:eastAsia="仿宋_GB2312"/>
                <w:kern w:val="0"/>
                <w:sz w:val="18"/>
                <w:szCs w:val="18"/>
              </w:rPr>
              <w:t>，重点检查矽尘、石棉粉尘、高毒物品和放射性物质等严重职业病危害因素浓度或强度符合情况</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职业病危害因素全部符合</w:t>
            </w:r>
          </w:p>
        </w:tc>
        <w:tc>
          <w:tcPr>
            <w:tcW w:w="1416"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严重职业病危害因素全部符合；个别一般职业病危害因素存在不符合情况</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严重职业病危害因素不符合；或者大部分其他职业病危害因素存在不符合</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有害和无害作业分开</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生产布局合理，符合有害与无害作业分开的原则。</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现场检查，主要检查接触矽尘、石棉粉尘、高毒物质岗位是否与其他岗位隔离，接触有毒有害岗位与无危害岗位是否分开布置；有毒物品和粉尘的发生源是否布置在操作岗位下风侧</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有毒有害作业与无害作业分开布置</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有毒有害作业与无害作业未分开布置</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工作场所与生活场所分开</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工作场所与生活场所分开，工作场所不得住人。</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现场检查</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设置与工作场所分开的独立生活区</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工作场所与生活场所未分开</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卫生设施</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有配套的更衣间、洗浴间、孕妇休息间、女工卫生室等卫生设施。</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现场检查</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按《工业企业设计卫生标准》的要求设置配套的卫生设施</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未按要求设置卫生设施</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五、职业病危害因素日常监测、检测和评价</w:t>
            </w: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日常监测</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实施由专人负责职业病危害因素日常监测，并确保监测系统处于正常运转状态。</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查阅监测记录或报告，重点检查粉尘与高毒物品日常监测情况</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开展日常监测，监测项目及记录齐全</w:t>
            </w:r>
          </w:p>
        </w:tc>
        <w:tc>
          <w:tcPr>
            <w:tcW w:w="1416"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开展日常监测，但监测项目不全</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未开展日常监测</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定期检测</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职业病危害严重的用人单位，应当委托具有相应资质的职业卫生技术服务机构，每年至少进行一次职业病危害因素检测。</w:t>
            </w:r>
          </w:p>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职业病危害一般的用人单位，应当委托具有相应资质的职业卫生技术服务机构，每三年至少进行一次职业病危害因素检测。</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查阅年度职业病危害因素检测报告，核对是否覆盖所有接触职业病危害因素的工作场所和所有职业病危害因素</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按要求开展定期检测，且检测点覆盖所有接触职业病危害的场所，检测因素全面</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未进行定期检测；或检测点未覆盖所有产生接触职业病危害的场所；或检测因素不全面</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现状评价</w:t>
            </w:r>
          </w:p>
        </w:tc>
        <w:tc>
          <w:tcPr>
            <w:tcW w:w="3490" w:type="dxa"/>
            <w:vAlign w:val="center"/>
          </w:tcPr>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职业病危害严重的用人单位，委托具有相应资质的职业卫生技术服务机构，每三年至少进行一次职业病危害现状评价。</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发生职业病危害事故或者国家卫生健康委规定的其他情形的，应及时委托具有相应资质的职业卫生技术服务机构进行职业病危害现状评价。</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重点检查职业病危害严重的用人单位是否开展现状评价；</w:t>
            </w:r>
            <w:r>
              <w:rPr>
                <w:rFonts w:hint="eastAsia" w:ascii="Times New Roman" w:hAnsi="Times New Roman" w:eastAsia="仿宋_GB2312"/>
                <w:sz w:val="18"/>
                <w:szCs w:val="18"/>
              </w:rPr>
              <w:t>查看发生职业病危害事故的情况以及是否按要求开展职业病危害现状评价</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按要求开展职业病危害现状评价</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未按要求开展职业病危害现状评价</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不属于职业病危害严重的用人单位且未发生职业病危害事故</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治理措施</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在日常的职业病危害监测或者定期检测、现状评价过程中，发现工作场所职业病危害因素不符合国家职业卫生标准和卫生要求时，应当立即采取相应治理措施，确保其符合职业卫生环境和条件的要求。</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查阅日常</w:t>
            </w:r>
            <w:r>
              <w:rPr>
                <w:rFonts w:hint="eastAsia" w:ascii="Times New Roman" w:hAnsi="Times New Roman" w:eastAsia="仿宋_GB2312"/>
                <w:kern w:val="0"/>
                <w:sz w:val="18"/>
                <w:szCs w:val="18"/>
              </w:rPr>
              <w:t>监测或者定期检测、现状评价中职业病危害因素超标场所及整改情况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已按要求采取相应治理措施，治理效果良好，</w:t>
            </w:r>
            <w:r>
              <w:rPr>
                <w:rFonts w:hint="eastAsia" w:ascii="Times New Roman" w:hAnsi="Times New Roman" w:eastAsia="仿宋_GB2312"/>
                <w:kern w:val="0"/>
                <w:sz w:val="18"/>
                <w:szCs w:val="18"/>
              </w:rPr>
              <w:t>职业病危害因素强度或者浓度符合国家职业卫生标准和行业标准的要求</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未按要求采取相应治理措施；或治理效果差，职业病危害因</w:t>
            </w:r>
            <w:r>
              <w:rPr>
                <w:rFonts w:hint="eastAsia" w:ascii="Times New Roman" w:hAnsi="Times New Roman" w:eastAsia="仿宋_GB2312"/>
                <w:kern w:val="0"/>
                <w:sz w:val="18"/>
                <w:szCs w:val="18"/>
              </w:rPr>
              <w:t>强度或者浓度未</w:t>
            </w:r>
            <w:r>
              <w:rPr>
                <w:rFonts w:hint="eastAsia" w:ascii="Times New Roman" w:hAnsi="Times New Roman" w:eastAsia="仿宋_GB2312"/>
                <w:sz w:val="18"/>
                <w:szCs w:val="18"/>
              </w:rPr>
              <w:t>得到有效控制</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日常监测或定期检测、现状评价中均无不符合项</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trPr>
        <w:tc>
          <w:tcPr>
            <w:tcW w:w="667"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六、职业病防护设施和个人防护用品</w:t>
            </w: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设施配备</w:t>
            </w:r>
          </w:p>
        </w:tc>
        <w:tc>
          <w:tcPr>
            <w:tcW w:w="3490"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职业病防护设施配备齐全，并建立有职业病防护设施台帐。</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重点检查矽尘、石棉粉尘、高毒或放射性工作场所的防护设施配备情况和台账建立情况</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职业病防护设施配备齐全，台账内容规范、齐全</w:t>
            </w:r>
          </w:p>
        </w:tc>
        <w:tc>
          <w:tcPr>
            <w:tcW w:w="1416"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职业病防护设施配备基本齐全；或台帐内容不规范或不齐全</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职业病防护设施配备不全；或未建立职业病防护设施台帐</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设施维护和有效性</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及时维护、检修、定期检测职业病防护设施，确保职业病防护设施有效。</w:t>
            </w:r>
          </w:p>
        </w:tc>
        <w:tc>
          <w:tcPr>
            <w:tcW w:w="164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查阅防护设施设计资料、维修和检测记录，并现场检查设施运行情况</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定期对防护设施进行维护、检修，且设施正常运行</w:t>
            </w:r>
          </w:p>
        </w:tc>
        <w:tc>
          <w:tcPr>
            <w:tcW w:w="1416"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个别设施不能正常运行</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大多数设施不能正常运行</w:t>
            </w:r>
          </w:p>
        </w:tc>
        <w:tc>
          <w:tcPr>
            <w:tcW w:w="1136" w:type="dxa"/>
            <w:vAlign w:val="center"/>
          </w:tcPr>
          <w:p>
            <w:pPr>
              <w:widowControl/>
              <w:adjustRightInd w:val="0"/>
              <w:snapToGrid w:val="0"/>
              <w:jc w:val="center"/>
            </w:pPr>
            <w:r>
              <w:t>-</w:t>
            </w:r>
          </w:p>
        </w:tc>
        <w:tc>
          <w:tcPr>
            <w:tcW w:w="425"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防护用品配备</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根据工作场所的职业病危害因素的种类、危害程度、对人体的影响途径以及现场生产条件、职业病危害因素的接触水平以及个人的生理和健康状况等特点，为劳动者配备适宜的符合国家或行业标准的个人职业病防护用品。</w:t>
            </w:r>
          </w:p>
        </w:tc>
        <w:tc>
          <w:tcPr>
            <w:tcW w:w="164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查阅防护用品的采购合同和计划，查阅发放登记账目、防护用品领取记录，现场检查</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按标准配备符合防治职业病要求的个人防护用品</w:t>
            </w:r>
          </w:p>
        </w:tc>
        <w:tc>
          <w:tcPr>
            <w:tcW w:w="1416"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个人防护用品配备不全</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未配备个人防护用品；或配备的防护用品无效</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防护用品佩戴</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督促、指导劳动者按照使用规则正确佩戴、使用，不得发放钱物替代发放职业病防护用品。</w:t>
            </w:r>
          </w:p>
        </w:tc>
        <w:tc>
          <w:tcPr>
            <w:tcW w:w="164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查阅培训记录，现场检查</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所有人员正确佩戴防护用品</w:t>
            </w:r>
          </w:p>
        </w:tc>
        <w:tc>
          <w:tcPr>
            <w:tcW w:w="1416"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个别人员未正确佩戴防护用品</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多数人员未正确佩戴防护用品</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防护用品维护</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职业病防护用品应当进行经常性检修、维护，并定期检测防护性能和效果，确保其处于正常状态。</w:t>
            </w:r>
          </w:p>
        </w:tc>
        <w:tc>
          <w:tcPr>
            <w:tcW w:w="164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查阅督促使用检查记录及维修检测记录</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定期对防护用品进行维护，且记录齐全</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未定期对防护用品进行维护</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七、生产技术、工艺、设备和材料</w:t>
            </w: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优先采用有利于职业病防治的新技术、新工艺和新材料</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优先采用有利于防治职业病危害和保护劳动者健康的新技术、新工艺、新材料、新设备，逐步替代产生职业病危害的技术、工艺、材料、设备。</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综合评估单位的工艺、技术、装备和材料的先进水平</w:t>
            </w:r>
            <w:r>
              <w:rPr>
                <w:rFonts w:ascii="Times New Roman" w:hAnsi="Times New Roman" w:eastAsia="仿宋_GB2312"/>
                <w:sz w:val="18"/>
                <w:szCs w:val="18"/>
              </w:rPr>
              <w:t>(</w:t>
            </w:r>
            <w:r>
              <w:rPr>
                <w:rFonts w:hint="eastAsia" w:ascii="Times New Roman" w:hAnsi="Times New Roman" w:eastAsia="仿宋_GB2312"/>
                <w:sz w:val="18"/>
                <w:szCs w:val="18"/>
              </w:rPr>
              <w:t>与现阶段国内同类用人单位相比，工艺、技术、装备和材料较为先进，主要考虑密闭化、机械化、自动化，低毒或无毒原料等因素</w:t>
            </w:r>
            <w:r>
              <w:rPr>
                <w:rFonts w:ascii="Times New Roman" w:hAnsi="Times New Roman" w:eastAsia="仿宋_GB2312"/>
                <w:sz w:val="18"/>
                <w:szCs w:val="18"/>
              </w:rPr>
              <w:t>)</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工艺、技术、装备和材料较为先进</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与现阶段国内同类用人单位相比，工艺、技术、装备和材料明显落后</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不得隐瞒技术、工艺、设备和材料所产生的职业病危害</w:t>
            </w:r>
          </w:p>
        </w:tc>
        <w:tc>
          <w:tcPr>
            <w:tcW w:w="3490" w:type="dxa"/>
            <w:vAlign w:val="center"/>
          </w:tcPr>
          <w:p>
            <w:pPr>
              <w:widowControl/>
              <w:adjustRightInd w:val="0"/>
              <w:snapToGrid w:val="0"/>
              <w:rPr>
                <w:rFonts w:ascii="Times New Roman" w:hAnsi="Times New Roman" w:eastAsia="仿宋_GB2312"/>
                <w:sz w:val="18"/>
                <w:szCs w:val="18"/>
              </w:rPr>
            </w:pPr>
            <w:r>
              <w:rPr>
                <w:rFonts w:ascii="Times New Roman" w:hAnsi="Times New Roman" w:eastAsia="仿宋_GB2312"/>
                <w:sz w:val="18"/>
                <w:szCs w:val="18"/>
              </w:rPr>
              <w:t>(1)</w:t>
            </w:r>
            <w:r>
              <w:rPr>
                <w:rFonts w:hint="eastAsia" w:ascii="Times New Roman" w:hAnsi="Times New Roman" w:eastAsia="仿宋_GB2312"/>
                <w:sz w:val="18"/>
                <w:szCs w:val="18"/>
              </w:rPr>
              <w:t>对采用的技术、工艺、设备、材料，知悉其产生的职业病危害。</w:t>
            </w:r>
            <w:r>
              <w:rPr>
                <w:rFonts w:ascii="Times New Roman" w:hAnsi="Times New Roman" w:eastAsia="仿宋_GB2312"/>
                <w:sz w:val="18"/>
                <w:szCs w:val="18"/>
              </w:rPr>
              <w:t xml:space="preserve"> </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对有职业病危害的技术、工艺、设备和材料，故意隐瞒其危害而采用的，用人单位对其所造成的职业病危害后果承担责任。</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查阅原材料采购计划和生产设备改造或更新计划，查阅生产工艺流程图及产生职业病危害的设备登记表、有毒有害物质清单和化学品安全技术说明书</w:t>
            </w:r>
            <w:r>
              <w:rPr>
                <w:rFonts w:ascii="Times New Roman" w:hAnsi="Times New Roman" w:eastAsia="仿宋_GB2312"/>
                <w:kern w:val="0"/>
                <w:sz w:val="18"/>
                <w:szCs w:val="18"/>
              </w:rPr>
              <w:t>(MSDS)</w:t>
            </w:r>
            <w:r>
              <w:rPr>
                <w:rFonts w:hint="eastAsia" w:ascii="Times New Roman" w:hAnsi="Times New Roman" w:eastAsia="仿宋_GB2312"/>
                <w:kern w:val="0"/>
                <w:sz w:val="18"/>
                <w:szCs w:val="18"/>
              </w:rPr>
              <w:t>等资料</w:t>
            </w:r>
          </w:p>
        </w:tc>
        <w:tc>
          <w:tcPr>
            <w:tcW w:w="138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未隐瞒工艺、设备产生的危害；生产原辅材料的有毒有害成份明确，主要原辅材料</w:t>
            </w:r>
            <w:r>
              <w:rPr>
                <w:rFonts w:ascii="Times New Roman" w:hAnsi="Times New Roman" w:eastAsia="仿宋_GB2312"/>
                <w:kern w:val="0"/>
                <w:sz w:val="18"/>
                <w:szCs w:val="18"/>
              </w:rPr>
              <w:t>MSDS</w:t>
            </w:r>
            <w:r>
              <w:rPr>
                <w:rFonts w:hint="eastAsia" w:ascii="Times New Roman" w:hAnsi="Times New Roman" w:eastAsia="仿宋_GB2312"/>
                <w:kern w:val="0"/>
                <w:sz w:val="18"/>
                <w:szCs w:val="18"/>
              </w:rPr>
              <w:t>齐全</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隐瞒工艺、设备产生的危害；主要原辅材料缺少</w:t>
            </w:r>
            <w:r>
              <w:rPr>
                <w:rFonts w:ascii="Times New Roman" w:hAnsi="Times New Roman" w:eastAsia="仿宋_GB2312"/>
                <w:kern w:val="0"/>
                <w:sz w:val="18"/>
                <w:szCs w:val="18"/>
              </w:rPr>
              <w:t>MSDS</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明令禁止的设备和材料</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不得生产、经营、进口、使用国家明令禁止使用的可能产生职业病危害的设备和材料。</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查阅最新国家产业政策文件</w:t>
            </w:r>
            <w:r>
              <w:rPr>
                <w:rFonts w:ascii="Times New Roman" w:hAnsi="Times New Roman" w:eastAsia="仿宋_GB2312"/>
                <w:kern w:val="0"/>
                <w:sz w:val="18"/>
                <w:szCs w:val="18"/>
              </w:rPr>
              <w:t>(</w:t>
            </w:r>
            <w:r>
              <w:rPr>
                <w:rFonts w:hint="eastAsia" w:ascii="Times New Roman" w:hAnsi="Times New Roman" w:eastAsia="仿宋_GB2312"/>
                <w:kern w:val="0"/>
                <w:sz w:val="18"/>
                <w:szCs w:val="18"/>
              </w:rPr>
              <w:t>国家发改委公布的《产业结构调整指导目录》和工信部相关行业准入条件</w:t>
            </w:r>
            <w:r>
              <w:rPr>
                <w:rFonts w:ascii="Times New Roman" w:hAnsi="Times New Roman" w:eastAsia="仿宋_GB2312"/>
                <w:kern w:val="0"/>
                <w:sz w:val="18"/>
                <w:szCs w:val="18"/>
              </w:rPr>
              <w:t>)</w:t>
            </w:r>
          </w:p>
        </w:tc>
        <w:tc>
          <w:tcPr>
            <w:tcW w:w="138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未生产、经营、进口和使用国家明令禁止使用的可能产生职业病危害的设备或者材料</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生产、经营、进口和使用国家明令禁止使用的可能产生职业病危害的设备或者材料</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职业病危害作业转移</w:t>
            </w:r>
          </w:p>
        </w:tc>
        <w:tc>
          <w:tcPr>
            <w:tcW w:w="3490" w:type="dxa"/>
            <w:vAlign w:val="center"/>
          </w:tcPr>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不得将产生职业病危害的作业转移给不具备职业病防护条件的单位和个人。</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不具备职业病危害防护条件的单位和个人不得接受产生职业病危害的作业。</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针对生产工艺流程外包环节和岗位，查阅承包职业卫生协议书、职业病危害告知及应当采取防护措施等内容，对外包作业现场检查</w:t>
            </w:r>
          </w:p>
        </w:tc>
        <w:tc>
          <w:tcPr>
            <w:tcW w:w="138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与外包单位签订有职业卫生协议，并监督外包单位落实职业病防护措施</w:t>
            </w:r>
          </w:p>
        </w:tc>
        <w:tc>
          <w:tcPr>
            <w:tcW w:w="141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与外包单位无相关职业健康协议；或未督促外包单位落实职业病防护措施</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w:t>
            </w:r>
            <w:r>
              <w:rPr>
                <w:rFonts w:hint="eastAsia" w:ascii="Times New Roman" w:hAnsi="Times New Roman" w:eastAsia="仿宋_GB2312"/>
                <w:sz w:val="18"/>
                <w:szCs w:val="18"/>
              </w:rPr>
              <w:t>产生职业病危害的</w:t>
            </w:r>
            <w:r>
              <w:rPr>
                <w:rFonts w:hint="eastAsia" w:ascii="Times New Roman" w:hAnsi="Times New Roman" w:eastAsia="仿宋_GB2312"/>
                <w:kern w:val="0"/>
                <w:sz w:val="18"/>
                <w:szCs w:val="18"/>
              </w:rPr>
              <w:t>外包作业</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首次使用或者首次进口与职业病危害有关的化学材料</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国内首次使用或者首次进口与职业病危害有关的化学材料，按照国家规定经国务院有关部门批准后，应当向国务院卫生行政部门报送该化学材料的毒性鉴定以及经有关部门登记注册或者批准进口的文件等资料。</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查阅生产计划、技改计划和化学材料采购计划，查阅毒性鉴定资料及批准进口批文，对首次使用的化学材料进行现场检查</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按规定报送毒性鉴定资料，并取得有关部门登记注册或者批准进口的文件</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未按规定报送毒性鉴定资料以及经有关部门登记注册或者批准进口的文件的</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不涉及自查内容中所列化学材料</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职业病危害设备中文说明书</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可能产生职业病危害的设备的，应提供中文说明书，并在设备的醒目位置设置警示标识和中文警示说明。</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现场查看有无中文说明书及警示标识等</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产生职业病危害的设备均有中文说明书及警示标识</w:t>
            </w:r>
          </w:p>
        </w:tc>
        <w:tc>
          <w:tcPr>
            <w:tcW w:w="1416"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大部分产生职业病危害的设备有中文说明书及警示标识</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大部分产生职业病危害的设备无中文说明书及警示标识</w:t>
            </w:r>
          </w:p>
        </w:tc>
        <w:tc>
          <w:tcPr>
            <w:tcW w:w="1136" w:type="dxa"/>
            <w:vAlign w:val="center"/>
          </w:tcPr>
          <w:p>
            <w:pPr>
              <w:widowControl/>
              <w:adjustRightInd w:val="0"/>
              <w:snapToGrid w:val="0"/>
              <w:jc w:val="center"/>
            </w:pPr>
            <w: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原辅材料中文说明书</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可能产生职业病危害的化学品、放射性同位素和含有放射性物质的材料的，应提供中文说明书；产品包装应有醒目的警示标识和中文警示说明；贮存上述材料的场所应在规定的部位设置危险物品标识或者放射性警示标识。</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现场查看有无中文说明书及警示标识等</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现场使用的化学品、放射性同位素和含有放射性物质材料等均有中文说明书和警示标识</w:t>
            </w:r>
          </w:p>
        </w:tc>
        <w:tc>
          <w:tcPr>
            <w:tcW w:w="1416"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现场使用的大部分化学品、放射性同位素和含有放射性物质材料等有中文说明书和警示标识</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现场使用的大部分化学品、放射性同位素和含有放射性物质材料等无中文说明书和警示标识</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不涉及可能产生职业病危害的化学品、放射性同位素和含有放射性物质的材料</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1" w:hRule="atLeast"/>
        </w:trPr>
        <w:tc>
          <w:tcPr>
            <w:tcW w:w="667"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八、职业病危害告知</w:t>
            </w: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合同告知</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与劳动者订立或变更劳动合同时，将工作过程中可能产生的职业病危害及其后果、职业病防护措施和待遇等如实告知劳动者，并在职业病危害附加合同告知书中写明，不得隐瞒或者欺骗。</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抽查劳动合同是否有相关条款进行告知，或有无补充合同或专项合同</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按要求进行职业病危害告知，告知内容包括岗位接触的职业病危害及其后果、防护措施等</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未按要求进行职业病危害告知，或告知内容与实际不符</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公告栏</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在醒目位置设置公告栏，公布有关职业病防治的规章制度、操作规程、职业病危害事故应急救援措施。</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现场检查核实公告栏</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设置有公告栏，且内容齐全</w:t>
            </w:r>
          </w:p>
        </w:tc>
        <w:tc>
          <w:tcPr>
            <w:tcW w:w="1416"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设置有公告栏，但内容不规范</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未设置公告栏</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警示告知</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存在或者产生职业病危害的工作场所、作业岗位、设备、设施，按照《工作场所职业病危害警示标识》</w:t>
            </w:r>
            <w:r>
              <w:rPr>
                <w:rFonts w:ascii="Times New Roman" w:hAnsi="Times New Roman" w:eastAsia="仿宋_GB2312"/>
                <w:kern w:val="0"/>
                <w:sz w:val="18"/>
                <w:szCs w:val="18"/>
              </w:rPr>
              <w:t>(GBZ158)</w:t>
            </w:r>
            <w:r>
              <w:rPr>
                <w:rFonts w:hint="eastAsia" w:ascii="Times New Roman" w:hAnsi="Times New Roman" w:eastAsia="仿宋_GB2312"/>
                <w:kern w:val="0"/>
                <w:sz w:val="18"/>
                <w:szCs w:val="18"/>
              </w:rPr>
              <w:t>的规定，在醒目位置设置图形、警示线、警示语句等警示标识和中文警示说明。</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现场重点检查存在矽尘、石棉粉尘、高毒和放射性物质的岗位</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现场按要求规范设置警示标识</w:t>
            </w:r>
          </w:p>
        </w:tc>
        <w:tc>
          <w:tcPr>
            <w:tcW w:w="1416"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现场设置有警示标识，但不规范</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现场未设置警示标识</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告知卡</w:t>
            </w:r>
          </w:p>
        </w:tc>
        <w:tc>
          <w:tcPr>
            <w:tcW w:w="3490"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产生严重职业病危害的作业岗位，应在醒目位置设置职业病危害告知卡。</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检查存在矽尘、石棉粉尘、</w:t>
            </w:r>
            <w:r>
              <w:rPr>
                <w:rFonts w:ascii="Times New Roman" w:hAnsi="Times New Roman" w:eastAsia="仿宋_GB2312"/>
                <w:kern w:val="0"/>
                <w:sz w:val="18"/>
                <w:szCs w:val="18"/>
              </w:rPr>
              <w:t>“</w:t>
            </w:r>
            <w:r>
              <w:rPr>
                <w:rFonts w:hint="eastAsia" w:ascii="Times New Roman" w:hAnsi="Times New Roman" w:eastAsia="仿宋_GB2312"/>
                <w:kern w:val="0"/>
                <w:sz w:val="18"/>
                <w:szCs w:val="18"/>
              </w:rPr>
              <w:t>致癌</w:t>
            </w:r>
            <w:r>
              <w:rPr>
                <w:rFonts w:ascii="Times New Roman" w:hAnsi="Times New Roman" w:eastAsia="仿宋_GB2312"/>
                <w:kern w:val="0"/>
                <w:sz w:val="18"/>
                <w:szCs w:val="18"/>
              </w:rPr>
              <w:t>”</w:t>
            </w:r>
            <w:r>
              <w:rPr>
                <w:rFonts w:hint="eastAsia" w:ascii="Times New Roman" w:hAnsi="Times New Roman" w:eastAsia="仿宋_GB2312"/>
                <w:kern w:val="0"/>
                <w:sz w:val="18"/>
                <w:szCs w:val="18"/>
              </w:rPr>
              <w:t>、</w:t>
            </w:r>
            <w:r>
              <w:rPr>
                <w:rFonts w:ascii="Times New Roman" w:hAnsi="Times New Roman" w:eastAsia="仿宋_GB2312"/>
                <w:kern w:val="0"/>
                <w:sz w:val="18"/>
                <w:szCs w:val="18"/>
              </w:rPr>
              <w:t>“</w:t>
            </w:r>
            <w:r>
              <w:rPr>
                <w:rFonts w:hint="eastAsia" w:ascii="Times New Roman" w:hAnsi="Times New Roman" w:eastAsia="仿宋_GB2312"/>
                <w:kern w:val="0"/>
                <w:sz w:val="18"/>
                <w:szCs w:val="18"/>
              </w:rPr>
              <w:t>致畸</w:t>
            </w:r>
            <w:r>
              <w:rPr>
                <w:rFonts w:ascii="Times New Roman" w:hAnsi="Times New Roman" w:eastAsia="仿宋_GB2312"/>
                <w:kern w:val="0"/>
                <w:sz w:val="18"/>
                <w:szCs w:val="18"/>
              </w:rPr>
              <w:t>”</w:t>
            </w:r>
            <w:r>
              <w:rPr>
                <w:rFonts w:hint="eastAsia" w:ascii="Times New Roman" w:hAnsi="Times New Roman" w:eastAsia="仿宋_GB2312"/>
                <w:kern w:val="0"/>
                <w:sz w:val="18"/>
                <w:szCs w:val="18"/>
              </w:rPr>
              <w:t>等有害物质或者可能导致急性职业性中毒和放射性物质的岗位</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产生严重职业病危害的作业岗位设置有告知卡</w:t>
            </w:r>
          </w:p>
        </w:tc>
        <w:tc>
          <w:tcPr>
            <w:tcW w:w="1416"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产生严重职业病危害的作业岗位设置有告知卡，但设置不规范</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产生严重职业病危害的作业岗位未设置告知卡</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不存在矽尘、石棉粉尘、致癌、高毒和放射性物质</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九、职业卫生宣传教育培训</w:t>
            </w: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主要负责人和职业卫生管理人员培训</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主要负责人和职业卫生管理人员应当具备与本单位所从事的生产经营活动相适应的职业卫生知识和管理能力，并接受职业卫生培训。</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查看培训证书或相关培训证明材料</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主要负责人和职业卫生管理人员均有培训证明材料，且培训内容、培训时间和培训周期符合要求</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主要负责人或职业卫生管理人员无培训证明材料，或培训内容、培训时间和培训周期不符合要求</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上岗前职业卫生培训</w:t>
            </w:r>
          </w:p>
        </w:tc>
        <w:tc>
          <w:tcPr>
            <w:tcW w:w="3490" w:type="dxa"/>
            <w:vAlign w:val="center"/>
          </w:tcPr>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对劳动者进行上岗前职业卫生培训。</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因变更工艺、技术、设备或材料，或者岗位调整导致劳动者接触的职业病危害因素发生变化，对劳动者进行上岗前职业卫生培训。</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查看培训教材、资料、记录和试卷</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按照规定对上岗前的劳动者进行职业卫生培训，且培训内容、培训时间和培训周期符合要求</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未按照规定对上岗前的劳动者进行职业卫生培训，或培训内容、培训时间和培训周期不符合要求</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在岗期间职业卫生培训</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定期对在岗期间的劳动者进行职业卫生培训。</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查阅培训教材、资料、记录和试卷</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按照规定定期对在岗期间的劳动者进行职业卫生培训，且培训内容、培训时间和培训周期符合要求</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未按照规定定期对在岗期间的劳动者进行职业卫生培训，或培训内容、培训时间和培训周期不符合要求</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严重岗位职业卫生培训</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对存在矽尘、石棉粉尘、高毒物品以及放射性危害等职业病危害严重岗位的劳动者，进行专门的职业卫生培训，经培训合格后方可上岗作业。</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查阅培训教材、资料、记录和试卷</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按规定对存在严重职业病危害岗位进行专门的职业卫生培训</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未按规定对存在严重职业病危害岗位进行专门的职业卫生培训</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不存在矽尘、石棉粉尘、高毒物品以及放射性危害等职业病危害严重岗位</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十、职业健康监护</w:t>
            </w: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岗前职业健康检查</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按照规定组织劳动者进行上岗前的职业健康检查。</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查阅劳动合同和上岗前职业健康检查报告</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按要求组织劳动者进行上岗前职业健康检查，且体检项目齐全</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未按要求组织劳动者进行上岗前职业健康检查；或体检因素与接触的职业病危害因素不匹配</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不涉及岗前劳动者或接触的职业病危害因素无体检要求</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在岗期间职业健康检查</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按照规定组织劳动者进行在岗期间的职业健康检查。</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查阅在岗劳动者职业健康检查报告，重点检查粉尘、高毒物品或放射性因素等体检项目与体检周期是否满足《职业健康监护技术规范》</w:t>
            </w:r>
            <w:r>
              <w:rPr>
                <w:rFonts w:ascii="Times New Roman" w:hAnsi="Times New Roman" w:eastAsia="仿宋_GB2312"/>
                <w:sz w:val="18"/>
                <w:szCs w:val="18"/>
              </w:rPr>
              <w:t>(GBZ188)</w:t>
            </w:r>
            <w:r>
              <w:rPr>
                <w:rFonts w:hint="eastAsia" w:ascii="Times New Roman" w:hAnsi="Times New Roman" w:eastAsia="仿宋_GB2312"/>
                <w:sz w:val="18"/>
                <w:szCs w:val="18"/>
              </w:rPr>
              <w:t>、《放射工作人员健康要求及监护规范》</w:t>
            </w:r>
            <w:r>
              <w:rPr>
                <w:rFonts w:ascii="Times New Roman" w:hAnsi="Times New Roman" w:eastAsia="仿宋_GB2312"/>
                <w:sz w:val="18"/>
                <w:szCs w:val="18"/>
              </w:rPr>
              <w:t>(GBZ98)</w:t>
            </w:r>
            <w:r>
              <w:rPr>
                <w:rFonts w:hint="eastAsia" w:ascii="Times New Roman" w:hAnsi="Times New Roman" w:eastAsia="仿宋_GB2312"/>
                <w:sz w:val="18"/>
                <w:szCs w:val="18"/>
              </w:rPr>
              <w:t>等标准的要求</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按要求为在岗员工进行在岗期间职业健康检查，且重点因素的体检项目与体检周期均符合要求</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未按要求为在岗员工进行在岗期间职业健康检查；或重点因素的体检项目与体检周期不符合要求</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离岗时职业健康检查</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按照规定组织劳动者进行离岗时的职业健康检查。</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查阅离岗劳动者的职业健康检查报告</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按要求为离岗员工进行职业健康检查</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未按要求为离岗员工进行职业健康检查</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不涉及离岗人员或接触的职业病危害因素无离岗体检要求</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提供档案复印件</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劳动者离开用人单位时，有权索取本人职业健康监护档案复印件，用人单位应当如实、无偿提供，并在所提供的复印件上签章。</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查阅人事档案，劳动者职业健康监护档案借阅登记、复印记录</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按要求如实、无偿为劳动者提供档案复印件</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劳动者离开用人单位索要本人职业健康监护档案复印件时，未如实、无偿提供职业健康监护档案复印件的</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不涉及离职人员</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如实提供职业健康检查所需材料</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委托职业健康检查机构对从事接触职业病危害作业的劳动者进行职业健康检查时，如实提供职业健康检查所需文件、资料，包括：</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用人单位的基本情况；</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工作场所职业病危害因素种类及其接触人员名册；</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(3)</w:t>
            </w:r>
            <w:r>
              <w:rPr>
                <w:rFonts w:hint="eastAsia" w:ascii="Times New Roman" w:hAnsi="Times New Roman" w:eastAsia="仿宋_GB2312"/>
                <w:kern w:val="0"/>
                <w:sz w:val="18"/>
                <w:szCs w:val="18"/>
              </w:rPr>
              <w:t>职业病危害因素定期检测、评价结果。</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查阅相关文件资料</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如实提供职业健康检查所需文件、资料</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未如实提供职业健康检查所需文件、资料</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检查结果告知</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及时将职业健康检查结果及职业健康检查机构的建议以书面形式如实告知劳动者。</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查阅劳动者职业健康检查结果书面告知情况</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按要求将职业健康检查结果书面告知劳动者</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未按要求将职业健康检查结果书面告知劳动者</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未成年人保护</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不得安排未成年工从事接触职业病危害的作业。</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查阅劳动者名册、劳动合同</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未安排未成年工从事接触职业病危害的作业</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安排未成年工从事接触职业病危害的作业</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复查对象处置</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对需要复查的劳动者，按照职业健康检查机构要求的时间安排复查和医学观察。</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查阅体检报告，核对需复查劳动者复查情况</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按要求安排需要复查和医学观察的劳动者进行复查和医学观察</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未按要求安排需要复查和医学观察的劳动者进行复查和医学观察</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不涉及复查对象</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职业禁忌处置</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不得安排有职业禁忌的劳动者从事其所禁忌的作业。</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查阅体检报告，核对职业禁忌劳动者的调岗情况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有调岗手续，且调岗岗位与健康状况相适应</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存在职业禁忌劳动者，但未调岗</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不涉及职业禁忌的劳动者</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特殊人群保护</w:t>
            </w:r>
          </w:p>
        </w:tc>
        <w:tc>
          <w:tcPr>
            <w:tcW w:w="3490"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不得安排孕期、哺乳期女职工从事对本人和胎儿、婴儿有危害的作业。</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查阅劳动者名册</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未安排孕期、哺乳期女职工从事对本人和胎儿、婴儿有危害的作业</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安排孕期、哺乳期女职工从事对本人和胎儿、婴儿有危害的作业</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无孕期、哺乳期女职工</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职业病病人报告</w:t>
            </w:r>
          </w:p>
        </w:tc>
        <w:tc>
          <w:tcPr>
            <w:tcW w:w="3490"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发现职业病病人或者疑似职业病病人时，应当及时向所在地卫生健康主管部门报告，确诊为职业病的，应当向所在地劳动保障行政部门报告。</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查阅职业病病人和疑似职业病病人相关报告记录</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按要求进行报告</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未按要求进行报告</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无职业病病人或者疑似职业病病人</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疑似职业病病人诊断</w:t>
            </w:r>
          </w:p>
        </w:tc>
        <w:tc>
          <w:tcPr>
            <w:tcW w:w="3490" w:type="dxa"/>
            <w:vAlign w:val="center"/>
          </w:tcPr>
          <w:p>
            <w:pPr>
              <w:adjustRightInd w:val="0"/>
              <w:snapToGrid w:val="0"/>
              <w:rPr>
                <w:rFonts w:ascii="Times New Roman" w:hAnsi="Times New Roman" w:eastAsia="仿宋_GB2312"/>
                <w:sz w:val="18"/>
                <w:szCs w:val="18"/>
              </w:rPr>
            </w:pPr>
            <w:r>
              <w:rPr>
                <w:rFonts w:ascii="Times New Roman" w:hAnsi="Times New Roman" w:eastAsia="仿宋_GB2312"/>
                <w:sz w:val="18"/>
                <w:szCs w:val="18"/>
              </w:rPr>
              <w:t>(1)</w:t>
            </w:r>
            <w:r>
              <w:rPr>
                <w:rFonts w:hint="eastAsia" w:ascii="Times New Roman" w:hAnsi="Times New Roman" w:eastAsia="仿宋_GB2312"/>
                <w:sz w:val="18"/>
                <w:szCs w:val="18"/>
              </w:rPr>
              <w:t>应及时安排对疑似职业病病人进行诊断</w:t>
            </w:r>
            <w:r>
              <w:rPr>
                <w:rFonts w:ascii="Times New Roman" w:hAnsi="Times New Roman" w:eastAsia="仿宋_GB2312"/>
                <w:sz w:val="18"/>
                <w:szCs w:val="18"/>
              </w:rPr>
              <w:t>,</w:t>
            </w:r>
            <w:r>
              <w:rPr>
                <w:rFonts w:hint="eastAsia" w:ascii="Times New Roman" w:hAnsi="Times New Roman" w:eastAsia="仿宋_GB2312"/>
                <w:sz w:val="18"/>
                <w:szCs w:val="18"/>
              </w:rPr>
              <w:t>承担疑似职业病病人在诊断、医学观察期间的费用；</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如实提供职业病诊断、鉴定所需的劳动者职业史和职业病危害接触史、工作场所职业病危害因素检测结果和放射工作人员个人剂量监测结果等资料。</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查阅疑似职业病病人诊断资料及劳动用工情况</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按要求安排疑似职业病病人进行诊断，承担诊断</w:t>
            </w:r>
            <w:r>
              <w:rPr>
                <w:rFonts w:hint="eastAsia" w:ascii="Times New Roman" w:hAnsi="Times New Roman" w:eastAsia="仿宋_GB2312"/>
                <w:sz w:val="18"/>
                <w:szCs w:val="18"/>
              </w:rPr>
              <w:t>、医学观察期间</w:t>
            </w:r>
            <w:r>
              <w:rPr>
                <w:rFonts w:hint="eastAsia" w:ascii="Times New Roman" w:hAnsi="Times New Roman" w:eastAsia="仿宋_GB2312"/>
                <w:kern w:val="0"/>
                <w:sz w:val="18"/>
                <w:szCs w:val="18"/>
              </w:rPr>
              <w:t>等费用，并如实提供诊断鉴定所需资料</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未安排疑似职业病病人进行诊断；或未承担诊断</w:t>
            </w:r>
            <w:r>
              <w:rPr>
                <w:rFonts w:hint="eastAsia" w:ascii="Times New Roman" w:hAnsi="Times New Roman" w:eastAsia="仿宋_GB2312"/>
                <w:sz w:val="18"/>
                <w:szCs w:val="18"/>
              </w:rPr>
              <w:t>、医学观察期间</w:t>
            </w:r>
            <w:r>
              <w:rPr>
                <w:rFonts w:hint="eastAsia" w:ascii="Times New Roman" w:hAnsi="Times New Roman" w:eastAsia="仿宋_GB2312"/>
                <w:kern w:val="0"/>
                <w:sz w:val="18"/>
                <w:szCs w:val="18"/>
              </w:rPr>
              <w:t>等费用；或未如实提供诊断鉴定所需资料</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无疑似职业病病人</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疑似职业病病人保障</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在疑似职业病病人诊断或者医学观察期间，不得解除或者终止与其订立的劳动合同。</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查阅疑似职业病病人劳动用工情况</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诊断或医学观察期间未解除或者终止与其订立的劳动合同</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诊断或医学观察期间解除或者终止与其订立的劳动合同</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无疑似职业病病人</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职业病病人诊疗</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按照国家有关规定，安排职业病病人进行治疗、康复和定期检查。</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查阅职业病病人治疗、康复和定期检查资料</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按要求</w:t>
            </w:r>
            <w:r>
              <w:rPr>
                <w:rFonts w:hint="eastAsia" w:ascii="Times New Roman" w:hAnsi="Times New Roman" w:eastAsia="仿宋_GB2312"/>
                <w:sz w:val="18"/>
                <w:szCs w:val="18"/>
              </w:rPr>
              <w:t>安排职业病病人进行治疗、康复和定期检查</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未按要求安排职业病病人进行治疗、康复和定期检查</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无职业病病人</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7" w:hRule="atLeast"/>
        </w:trPr>
        <w:tc>
          <w:tcPr>
            <w:tcW w:w="667"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十一、应急救援和职业病危害事故调查处理</w:t>
            </w: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应急救援预案和演练</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建立健全急性职业病危害事故应急救援预案，并定期演练。</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查阅应急救援预案，预案应明确责任人、组织机构、事故发生后的疏通线路、技术方案、救援设施的维护和启动、救护方案等；查阅演练记录</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建立有急性职业病危害事故应急救援预案，预案内容全面，具有可操作性；定期进行应急救援预案演练，且有演练记录，记录内含改进建议</w:t>
            </w:r>
          </w:p>
        </w:tc>
        <w:tc>
          <w:tcPr>
            <w:tcW w:w="1416"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建立有急性职业病危害事故应急救援预案，预案内容较全面，具有一定的可操作性；定期进行应急救援预案演练，但演练记录内容不完整，缺少改进建议等</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未建立急性职业病危害事故应急救援预案</w:t>
            </w:r>
            <w:r>
              <w:rPr>
                <w:rFonts w:hint="eastAsia" w:ascii="Times New Roman" w:hAnsi="Times New Roman" w:eastAsia="仿宋_GB2312"/>
                <w:sz w:val="18"/>
                <w:szCs w:val="18"/>
              </w:rPr>
              <w:t>或不具有可操作性；或未进行应急救援预案演练</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不涉及急性职业病危害事故</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1"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应急设施配备</w:t>
            </w:r>
          </w:p>
        </w:tc>
        <w:tc>
          <w:tcPr>
            <w:tcW w:w="3490" w:type="dxa"/>
            <w:vAlign w:val="center"/>
          </w:tcPr>
          <w:p>
            <w:pPr>
              <w:widowControl/>
              <w:adjustRightInd w:val="0"/>
              <w:snapToGrid w:val="0"/>
              <w:rPr>
                <w:rFonts w:ascii="Times New Roman" w:hAnsi="Times New Roman" w:eastAsia="仿宋_GB2312"/>
                <w:sz w:val="18"/>
                <w:szCs w:val="18"/>
              </w:rPr>
            </w:pPr>
            <w:r>
              <w:rPr>
                <w:rFonts w:ascii="Times New Roman" w:hAnsi="Times New Roman" w:eastAsia="仿宋_GB2312"/>
                <w:sz w:val="18"/>
                <w:szCs w:val="18"/>
              </w:rPr>
              <w:t>(1)</w:t>
            </w:r>
            <w:r>
              <w:rPr>
                <w:rFonts w:hint="eastAsia" w:ascii="Times New Roman" w:hAnsi="Times New Roman" w:eastAsia="仿宋_GB2312"/>
                <w:sz w:val="18"/>
                <w:szCs w:val="18"/>
              </w:rPr>
              <w:t>对可能发生急性职业损伤的有毒、有害工作场所，应当设置报警装置，配置现场急救用品、冲洗设备、应急撤离通道和必要的泄险区。</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建立应急救援设施台账，定期对应急救援设施进行维护，确保正常使用。</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查阅应急救援设施台账，现场随机抽查报警装置，现场急救用品、冲洗设备、应急撤离通道和必要的泄险区的设置和运行情况</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建立有应急救援设施台账，</w:t>
            </w:r>
            <w:r>
              <w:rPr>
                <w:rFonts w:hint="eastAsia" w:ascii="Times New Roman" w:hAnsi="Times New Roman" w:eastAsia="仿宋_GB2312"/>
                <w:kern w:val="0"/>
                <w:sz w:val="18"/>
                <w:szCs w:val="18"/>
              </w:rPr>
              <w:t>应急设施设置种类齐全，设置位置等符合要求，定期进行维护和检修，且</w:t>
            </w:r>
            <w:r>
              <w:rPr>
                <w:rFonts w:hint="eastAsia" w:ascii="Times New Roman" w:hAnsi="Times New Roman" w:eastAsia="仿宋_GB2312"/>
                <w:sz w:val="18"/>
                <w:szCs w:val="18"/>
              </w:rPr>
              <w:t>现场随机抽查应急救援设施均可正常使用</w:t>
            </w:r>
          </w:p>
        </w:tc>
        <w:tc>
          <w:tcPr>
            <w:tcW w:w="1416"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配备有应急设施，但种类不全；或维护不及时，</w:t>
            </w:r>
            <w:r>
              <w:rPr>
                <w:rFonts w:hint="eastAsia" w:ascii="Times New Roman" w:hAnsi="Times New Roman" w:eastAsia="仿宋_GB2312"/>
                <w:sz w:val="18"/>
                <w:szCs w:val="18"/>
              </w:rPr>
              <w:t>现场随机抽查发现部分应急救援设施不能正常使用</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未配备应急设施；或未定期进行维护，</w:t>
            </w:r>
            <w:r>
              <w:rPr>
                <w:rFonts w:hint="eastAsia" w:ascii="Times New Roman" w:hAnsi="Times New Roman" w:eastAsia="仿宋_GB2312"/>
                <w:sz w:val="18"/>
                <w:szCs w:val="18"/>
              </w:rPr>
              <w:t>现场随机抽查发现应急救援设施均不能正常使用</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不涉及急性职业病危害事故</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急性职业病危害事故处置和报告</w:t>
            </w:r>
          </w:p>
        </w:tc>
        <w:tc>
          <w:tcPr>
            <w:tcW w:w="3490" w:type="dxa"/>
            <w:vAlign w:val="center"/>
          </w:tcPr>
          <w:p>
            <w:pPr>
              <w:widowControl/>
              <w:adjustRightInd w:val="0"/>
              <w:snapToGrid w:val="0"/>
              <w:rPr>
                <w:rFonts w:ascii="Times New Roman" w:hAnsi="Times New Roman" w:eastAsia="仿宋_GB2312"/>
                <w:sz w:val="18"/>
                <w:szCs w:val="18"/>
              </w:rPr>
            </w:pPr>
            <w:r>
              <w:rPr>
                <w:rFonts w:ascii="Times New Roman" w:hAnsi="Times New Roman" w:eastAsia="仿宋_GB2312"/>
                <w:sz w:val="18"/>
                <w:szCs w:val="18"/>
              </w:rPr>
              <w:t>(1)</w:t>
            </w:r>
            <w:r>
              <w:rPr>
                <w:rFonts w:hint="eastAsia" w:ascii="Times New Roman" w:hAnsi="Times New Roman" w:eastAsia="仿宋_GB2312"/>
                <w:sz w:val="18"/>
                <w:szCs w:val="18"/>
              </w:rPr>
              <w:t>发生或可能发生急性职业病危害事故时，立即采取应急救援和控制措施，减少或者消除职业病危害因素，防止事故扩大，并及时按照规定报告。</w:t>
            </w:r>
          </w:p>
          <w:p>
            <w:pPr>
              <w:widowControl/>
              <w:adjustRightInd w:val="0"/>
              <w:snapToGrid w:val="0"/>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不得故意破坏事故现场、毁灭有关证据，不得迟报、漏报、谎报或者瞒报急性职业病危害事故。</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查阅事故处置和报告情况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已采取相应的应急救援和控制措施，并按要求报告所在地卫生行政部门和有关部门</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未采取相应的应急救援和控制措施；或未按要求报告所在地卫生行政部门和有关部门</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不涉及急性职业病危害事故</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tabs>
                <w:tab w:val="left" w:pos="253"/>
              </w:tabs>
              <w:adjustRightInd w:val="0"/>
              <w:snapToGrid w:val="0"/>
              <w:rPr>
                <w:rFonts w:ascii="Times New Roman" w:hAnsi="Times New Roman" w:eastAsia="仿宋_GB2312"/>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遭受急性职业病危害劳动者的救治</w:t>
            </w:r>
          </w:p>
        </w:tc>
        <w:tc>
          <w:tcPr>
            <w:tcW w:w="3490" w:type="dxa"/>
            <w:vAlign w:val="center"/>
          </w:tcPr>
          <w:p>
            <w:pPr>
              <w:widowControl/>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对遭受或者可能遭受急性职业病危害的劳动者，应当及时组织救治、进行健康检查和医学观察，所需费用由用人单位承担。</w:t>
            </w:r>
          </w:p>
        </w:tc>
        <w:tc>
          <w:tcPr>
            <w:tcW w:w="1645"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查阅有关制度、报销单据</w:t>
            </w:r>
          </w:p>
        </w:tc>
        <w:tc>
          <w:tcPr>
            <w:tcW w:w="1385"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按要求对遭受急性职业病危害的劳动者进行健康检查和医学观察</w:t>
            </w:r>
          </w:p>
        </w:tc>
        <w:tc>
          <w:tcPr>
            <w:tcW w:w="1416"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sz w:val="18"/>
                <w:szCs w:val="18"/>
              </w:rPr>
              <w:t>-</w:t>
            </w:r>
          </w:p>
        </w:tc>
        <w:tc>
          <w:tcPr>
            <w:tcW w:w="127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未对遭受急性职业病危害的劳动者进行健康检查和医学观察</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不涉及遭受职业病危害的劳动者</w:t>
            </w:r>
          </w:p>
        </w:tc>
        <w:tc>
          <w:tcPr>
            <w:tcW w:w="425"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restart"/>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十二、职业病病人和行政处罚情况</w:t>
            </w: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发生职业病病例</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近三年内发生</w:t>
            </w:r>
            <w:r>
              <w:rPr>
                <w:rFonts w:ascii="Times New Roman" w:hAnsi="Times New Roman" w:eastAsia="仿宋_GB2312"/>
                <w:sz w:val="18"/>
                <w:szCs w:val="18"/>
              </w:rPr>
              <w:t>3</w:t>
            </w:r>
            <w:r>
              <w:rPr>
                <w:rFonts w:hint="eastAsia" w:ascii="Times New Roman" w:hAnsi="Times New Roman" w:eastAsia="仿宋_GB2312"/>
                <w:sz w:val="18"/>
                <w:szCs w:val="18"/>
              </w:rPr>
              <w:t>人以上职业病，发生急性职业病</w:t>
            </w:r>
            <w:r>
              <w:rPr>
                <w:rFonts w:ascii="Times New Roman" w:hAnsi="Times New Roman" w:eastAsia="仿宋_GB2312"/>
                <w:sz w:val="18"/>
                <w:szCs w:val="18"/>
              </w:rPr>
              <w:t>,</w:t>
            </w:r>
            <w:r>
              <w:rPr>
                <w:rFonts w:hint="eastAsia" w:ascii="Times New Roman" w:hAnsi="Times New Roman" w:eastAsia="仿宋_GB2312"/>
                <w:sz w:val="18"/>
                <w:szCs w:val="18"/>
              </w:rPr>
              <w:t>且工作场所相关职业病危害因素不符合职业卫生标准和要求。</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查阅职业病报告材料</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三年内未发生</w:t>
            </w:r>
            <w:r>
              <w:rPr>
                <w:rFonts w:ascii="Times New Roman" w:hAnsi="Times New Roman" w:eastAsia="仿宋_GB2312"/>
                <w:sz w:val="18"/>
                <w:szCs w:val="18"/>
              </w:rPr>
              <w:t>3</w:t>
            </w:r>
            <w:r>
              <w:rPr>
                <w:rFonts w:hint="eastAsia" w:ascii="Times New Roman" w:hAnsi="Times New Roman" w:eastAsia="仿宋_GB2312"/>
                <w:sz w:val="18"/>
                <w:szCs w:val="18"/>
              </w:rPr>
              <w:t>人以上职业病病例，且近三年未发生急性职业病</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三年内有</w:t>
            </w:r>
            <w:r>
              <w:rPr>
                <w:rFonts w:ascii="Times New Roman" w:hAnsi="Times New Roman" w:eastAsia="仿宋_GB2312"/>
                <w:sz w:val="18"/>
                <w:szCs w:val="18"/>
              </w:rPr>
              <w:t>3</w:t>
            </w:r>
            <w:r>
              <w:rPr>
                <w:rFonts w:hint="eastAsia" w:ascii="Times New Roman" w:hAnsi="Times New Roman" w:eastAsia="仿宋_GB2312"/>
                <w:sz w:val="18"/>
                <w:szCs w:val="18"/>
              </w:rPr>
              <w:t>人以上职业病病例或三年内有急性职业病，且工作场所相关职业病危害因素不符合职业卫生标准和要求</w:t>
            </w:r>
          </w:p>
        </w:tc>
        <w:tc>
          <w:tcPr>
            <w:tcW w:w="1136"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25" w:type="dxa"/>
            <w:vAlign w:val="center"/>
          </w:tcPr>
          <w:p>
            <w:pPr>
              <w:widowControl/>
              <w:adjustRightInd w:val="0"/>
              <w:snapToGrid w:val="0"/>
              <w:jc w:val="center"/>
              <w:rPr>
                <w:rFonts w:ascii="Times New Roman" w:hAnsi="Times New Roman" w:eastAsia="仿宋_GB2312"/>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67" w:type="dxa"/>
            <w:vMerge w:val="continue"/>
            <w:vAlign w:val="center"/>
          </w:tcPr>
          <w:p>
            <w:pPr>
              <w:widowControl/>
              <w:adjustRightInd w:val="0"/>
              <w:snapToGrid w:val="0"/>
              <w:rPr>
                <w:rFonts w:ascii="Times New Roman" w:hAnsi="Times New Roman" w:eastAsia="仿宋_GB2312"/>
                <w:kern w:val="0"/>
                <w:sz w:val="18"/>
                <w:szCs w:val="18"/>
              </w:rPr>
            </w:pPr>
          </w:p>
        </w:tc>
        <w:tc>
          <w:tcPr>
            <w:tcW w:w="1172" w:type="dxa"/>
            <w:gridSpan w:val="2"/>
            <w:vAlign w:val="center"/>
          </w:tcPr>
          <w:p>
            <w:pPr>
              <w:numPr>
                <w:ilvl w:val="0"/>
                <w:numId w:val="1"/>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行政处罚</w:t>
            </w:r>
          </w:p>
        </w:tc>
        <w:tc>
          <w:tcPr>
            <w:tcW w:w="3490"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年度内监督检查意见落实情况；年度内职业卫生方面罚款、停止产生职业病危害作业等行政处罚情况。</w:t>
            </w:r>
          </w:p>
        </w:tc>
        <w:tc>
          <w:tcPr>
            <w:tcW w:w="164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查阅相关执法文书以及监督检查意见落实情况</w:t>
            </w:r>
          </w:p>
        </w:tc>
        <w:tc>
          <w:tcPr>
            <w:tcW w:w="1385"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年度内监督检查意见已全部落实；且年度内职业卫生方面无罚款、停止产生职业病危害作业等行政处罚</w:t>
            </w:r>
          </w:p>
        </w:tc>
        <w:tc>
          <w:tcPr>
            <w:tcW w:w="1416"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27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年度内监督检查意见未落实；或年度内职业卫生方面受到罚款、停止产生职业病危害作业等行政处罚</w:t>
            </w:r>
          </w:p>
        </w:tc>
        <w:tc>
          <w:tcPr>
            <w:tcW w:w="1136"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无行政处罚</w:t>
            </w:r>
          </w:p>
        </w:tc>
        <w:tc>
          <w:tcPr>
            <w:tcW w:w="425" w:type="dxa"/>
            <w:vAlign w:val="center"/>
          </w:tcPr>
          <w:p>
            <w:pPr>
              <w:widowControl/>
              <w:adjustRightInd w:val="0"/>
              <w:snapToGrid w:val="0"/>
              <w:jc w:val="center"/>
              <w:rPr>
                <w:rFonts w:ascii="Times New Roman" w:hAnsi="Times New Roman" w:eastAsia="仿宋_GB2312"/>
                <w:sz w:val="18"/>
                <w:szCs w:val="18"/>
              </w:rPr>
            </w:pPr>
            <w:r>
              <w:rPr>
                <w:rFonts w:ascii="Segoe UI Symbol" w:hAnsi="Segoe UI Symbol" w:eastAsia="仿宋_GB2312" w:cs="Segoe UI Symbol"/>
                <w:kern w:val="0"/>
                <w:sz w:val="18"/>
                <w:szCs w:val="18"/>
              </w:rPr>
              <w:t>★</w:t>
            </w:r>
          </w:p>
        </w:tc>
        <w:tc>
          <w:tcPr>
            <w:tcW w:w="996"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81"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992" w:type="dxa"/>
            <w:gridSpan w:val="12"/>
            <w:vAlign w:val="center"/>
          </w:tcPr>
          <w:p>
            <w:pPr>
              <w:widowControl/>
              <w:adjustRightInd w:val="0"/>
              <w:snapToGrid w:val="0"/>
              <w:rPr>
                <w:rFonts w:ascii="仿宋_GB2312" w:hAnsi="Times New Roman" w:eastAsia="仿宋_GB2312"/>
                <w:kern w:val="0"/>
                <w:sz w:val="18"/>
                <w:szCs w:val="18"/>
              </w:rPr>
            </w:pPr>
            <w:r>
              <w:rPr>
                <w:rFonts w:hint="eastAsia" w:ascii="仿宋_GB2312" w:hAnsi="Times New Roman" w:eastAsia="仿宋_GB2312"/>
                <w:b/>
                <w:bCs/>
                <w:kern w:val="0"/>
                <w:sz w:val="18"/>
                <w:szCs w:val="18"/>
              </w:rPr>
              <w:t>合理缺项后满分分值</w:t>
            </w:r>
            <w:r>
              <w:rPr>
                <w:rFonts w:ascii="仿宋_GB2312" w:hAnsi="Times New Roman" w:eastAsia="仿宋_GB2312"/>
                <w:b/>
                <w:bCs/>
                <w:kern w:val="0"/>
                <w:sz w:val="18"/>
                <w:szCs w:val="18"/>
              </w:rPr>
              <w:t xml:space="preserve">:                   </w:t>
            </w:r>
            <w:r>
              <w:rPr>
                <w:rFonts w:hint="eastAsia" w:ascii="仿宋_GB2312" w:hAnsi="Times New Roman" w:eastAsia="仿宋_GB2312"/>
                <w:b/>
                <w:bCs/>
                <w:kern w:val="0"/>
                <w:sz w:val="18"/>
                <w:szCs w:val="18"/>
              </w:rPr>
              <w:t>合理缺项后实际得分：</w:t>
            </w:r>
            <w:r>
              <w:rPr>
                <w:rFonts w:ascii="仿宋_GB2312" w:hAnsi="Times New Roman" w:eastAsia="仿宋_GB2312"/>
                <w:b/>
                <w:bCs/>
                <w:kern w:val="0"/>
                <w:sz w:val="18"/>
                <w:szCs w:val="18"/>
              </w:rPr>
              <w:t xml:space="preserve">              </w:t>
            </w:r>
            <w:r>
              <w:rPr>
                <w:rFonts w:hint="eastAsia" w:ascii="仿宋_GB2312" w:hAnsi="Times New Roman" w:eastAsia="仿宋_GB2312"/>
                <w:b/>
                <w:bCs/>
                <w:kern w:val="0"/>
                <w:sz w:val="18"/>
                <w:szCs w:val="18"/>
              </w:rPr>
              <w:t>最终得分（标化得分</w:t>
            </w:r>
            <w:r>
              <w:rPr>
                <w:rFonts w:ascii="仿宋_GB2312" w:hAnsi="Times New Roman" w:eastAsia="仿宋_GB2312"/>
                <w:b/>
                <w:bCs/>
                <w:kern w:val="0"/>
                <w:sz w:val="18"/>
                <w:szCs w:val="18"/>
              </w:rPr>
              <w:t>=</w:t>
            </w:r>
            <w:r>
              <w:rPr>
                <w:rFonts w:hint="eastAsia" w:ascii="仿宋_GB2312" w:hAnsi="Times New Roman" w:eastAsia="仿宋_GB2312"/>
                <w:b/>
                <w:bCs/>
                <w:kern w:val="0"/>
                <w:sz w:val="18"/>
                <w:szCs w:val="18"/>
              </w:rPr>
              <w:t>实际得分</w:t>
            </w:r>
            <w:r>
              <w:rPr>
                <w:rFonts w:ascii="仿宋_GB2312" w:hAnsi="Times New Roman" w:eastAsia="仿宋_GB2312"/>
                <w:b/>
                <w:bCs/>
                <w:kern w:val="0"/>
                <w:sz w:val="18"/>
                <w:szCs w:val="18"/>
              </w:rPr>
              <w:t>/</w:t>
            </w:r>
            <w:r>
              <w:rPr>
                <w:rFonts w:hint="eastAsia" w:ascii="仿宋_GB2312" w:hAnsi="Times New Roman" w:eastAsia="仿宋_GB2312"/>
                <w:b/>
                <w:bCs/>
                <w:kern w:val="0"/>
                <w:sz w:val="18"/>
                <w:szCs w:val="18"/>
              </w:rPr>
              <w:t>满分分值×</w:t>
            </w:r>
            <w:r>
              <w:rPr>
                <w:rFonts w:ascii="仿宋_GB2312" w:hAnsi="Times New Roman" w:eastAsia="仿宋_GB2312"/>
                <w:b/>
                <w:bCs/>
                <w:kern w:val="0"/>
                <w:sz w:val="18"/>
                <w:szCs w:val="18"/>
              </w:rPr>
              <w:t>100</w:t>
            </w:r>
            <w:r>
              <w:rPr>
                <w:rFonts w:hint="eastAsia" w:ascii="仿宋_GB2312" w:hAnsi="Times New Roman" w:eastAsia="仿宋_GB2312"/>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992" w:type="dxa"/>
            <w:gridSpan w:val="12"/>
            <w:vAlign w:val="center"/>
          </w:tcPr>
          <w:p>
            <w:pPr>
              <w:widowControl/>
              <w:adjustRightInd w:val="0"/>
              <w:snapToGrid w:val="0"/>
              <w:jc w:val="center"/>
              <w:rPr>
                <w:rFonts w:ascii="仿宋_GB2312" w:hAnsi="Times New Roman" w:eastAsia="仿宋_GB2312"/>
                <w:b/>
                <w:bCs/>
                <w:kern w:val="0"/>
                <w:sz w:val="24"/>
              </w:rPr>
            </w:pPr>
            <w:r>
              <w:rPr>
                <w:rFonts w:hint="eastAsia" w:ascii="仿宋_GB2312" w:hAnsi="Times New Roman" w:eastAsia="仿宋_GB2312"/>
                <w:b/>
                <w:bCs/>
                <w:kern w:val="0"/>
                <w:sz w:val="24"/>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项目</w:t>
            </w:r>
          </w:p>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（编号和项目名）</w:t>
            </w:r>
          </w:p>
        </w:tc>
        <w:tc>
          <w:tcPr>
            <w:tcW w:w="12153" w:type="dxa"/>
            <w:gridSpan w:val="9"/>
            <w:vAlign w:val="center"/>
          </w:tcPr>
          <w:p>
            <w:pPr>
              <w:widowControl/>
              <w:adjustRightInd w:val="0"/>
              <w:snapToGrid w:val="0"/>
              <w:jc w:val="center"/>
              <w:rPr>
                <w:rFonts w:ascii="仿宋_GB2312" w:hAnsi="Times New Roman" w:eastAsia="仿宋_GB2312"/>
                <w:b/>
                <w:bCs/>
                <w:kern w:val="0"/>
                <w:sz w:val="18"/>
                <w:szCs w:val="18"/>
              </w:rPr>
            </w:pPr>
            <w:r>
              <w:rPr>
                <w:rFonts w:hint="eastAsia" w:ascii="仿宋_GB2312" w:hAnsi="Times New Roman" w:eastAsia="仿宋_GB2312"/>
                <w:b/>
                <w:bCs/>
                <w:kern w:val="0"/>
                <w:sz w:val="18"/>
                <w:szCs w:val="18"/>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vAlign w:val="center"/>
          </w:tcPr>
          <w:p>
            <w:pPr>
              <w:widowControl/>
              <w:adjustRightInd w:val="0"/>
              <w:snapToGrid w:val="0"/>
              <w:jc w:val="center"/>
              <w:rPr>
                <w:rFonts w:ascii="Times New Roman" w:hAnsi="Times New Roman" w:eastAsia="仿宋_GB2312"/>
                <w:b/>
                <w:bCs/>
                <w:kern w:val="0"/>
                <w:sz w:val="18"/>
                <w:szCs w:val="18"/>
              </w:rPr>
            </w:pPr>
          </w:p>
        </w:tc>
        <w:tc>
          <w:tcPr>
            <w:tcW w:w="12153" w:type="dxa"/>
            <w:gridSpan w:val="9"/>
            <w:vAlign w:val="center"/>
          </w:tcPr>
          <w:p>
            <w:pPr>
              <w:widowControl/>
              <w:adjustRightInd w:val="0"/>
              <w:snapToGrid w:val="0"/>
              <w:jc w:val="left"/>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vAlign w:val="center"/>
          </w:tcPr>
          <w:p>
            <w:pPr>
              <w:widowControl/>
              <w:adjustRightInd w:val="0"/>
              <w:snapToGrid w:val="0"/>
              <w:jc w:val="center"/>
              <w:rPr>
                <w:rFonts w:ascii="Times New Roman" w:hAnsi="Times New Roman" w:eastAsia="仿宋_GB2312"/>
                <w:b/>
                <w:bCs/>
                <w:kern w:val="0"/>
                <w:sz w:val="18"/>
                <w:szCs w:val="18"/>
              </w:rPr>
            </w:pPr>
          </w:p>
        </w:tc>
        <w:tc>
          <w:tcPr>
            <w:tcW w:w="12153" w:type="dxa"/>
            <w:gridSpan w:val="9"/>
            <w:vAlign w:val="center"/>
          </w:tcPr>
          <w:p>
            <w:pPr>
              <w:widowControl/>
              <w:adjustRightInd w:val="0"/>
              <w:snapToGrid w:val="0"/>
              <w:jc w:val="left"/>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vAlign w:val="center"/>
          </w:tcPr>
          <w:p>
            <w:pPr>
              <w:widowControl/>
              <w:adjustRightInd w:val="0"/>
              <w:snapToGrid w:val="0"/>
              <w:jc w:val="center"/>
              <w:rPr>
                <w:rFonts w:ascii="Times New Roman" w:hAnsi="Times New Roman" w:eastAsia="仿宋_GB2312"/>
                <w:b/>
                <w:bCs/>
                <w:kern w:val="0"/>
                <w:sz w:val="18"/>
                <w:szCs w:val="18"/>
              </w:rPr>
            </w:pPr>
          </w:p>
        </w:tc>
        <w:tc>
          <w:tcPr>
            <w:tcW w:w="12153" w:type="dxa"/>
            <w:gridSpan w:val="9"/>
            <w:vAlign w:val="center"/>
          </w:tcPr>
          <w:p>
            <w:pPr>
              <w:widowControl/>
              <w:adjustRightInd w:val="0"/>
              <w:snapToGrid w:val="0"/>
              <w:jc w:val="left"/>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839" w:type="dxa"/>
            <w:gridSpan w:val="3"/>
            <w:vAlign w:val="center"/>
          </w:tcPr>
          <w:p>
            <w:pPr>
              <w:widowControl/>
              <w:adjustRightInd w:val="0"/>
              <w:snapToGrid w:val="0"/>
              <w:jc w:val="center"/>
              <w:rPr>
                <w:rFonts w:ascii="Times New Roman" w:hAnsi="Times New Roman" w:eastAsia="仿宋_GB2312"/>
                <w:b/>
                <w:bCs/>
                <w:kern w:val="0"/>
                <w:sz w:val="18"/>
                <w:szCs w:val="18"/>
              </w:rPr>
            </w:pPr>
          </w:p>
        </w:tc>
        <w:tc>
          <w:tcPr>
            <w:tcW w:w="12153" w:type="dxa"/>
            <w:gridSpan w:val="9"/>
            <w:vAlign w:val="center"/>
          </w:tcPr>
          <w:p>
            <w:pPr>
              <w:widowControl/>
              <w:adjustRightInd w:val="0"/>
              <w:snapToGrid w:val="0"/>
              <w:jc w:val="left"/>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trPr>
        <w:tc>
          <w:tcPr>
            <w:tcW w:w="6974" w:type="dxa"/>
            <w:gridSpan w:val="5"/>
          </w:tcPr>
          <w:p>
            <w:pPr>
              <w:tabs>
                <w:tab w:val="left" w:pos="5670"/>
              </w:tabs>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自查人员签字：</w:t>
            </w:r>
          </w:p>
          <w:p>
            <w:pPr>
              <w:tabs>
                <w:tab w:val="left" w:pos="5670"/>
              </w:tabs>
              <w:adjustRightInd w:val="0"/>
              <w:snapToGrid w:val="0"/>
              <w:rPr>
                <w:rFonts w:ascii="Times New Roman" w:hAnsi="Times New Roman" w:eastAsia="仿宋_GB2312"/>
                <w:sz w:val="18"/>
                <w:szCs w:val="18"/>
              </w:rPr>
            </w:pPr>
          </w:p>
          <w:p>
            <w:pPr>
              <w:tabs>
                <w:tab w:val="left" w:pos="5670"/>
              </w:tabs>
              <w:adjustRightInd w:val="0"/>
              <w:snapToGrid w:val="0"/>
              <w:rPr>
                <w:rFonts w:ascii="Times New Roman" w:hAnsi="Times New Roman" w:eastAsia="仿宋_GB2312"/>
                <w:sz w:val="18"/>
                <w:szCs w:val="18"/>
              </w:rPr>
            </w:pPr>
          </w:p>
          <w:p>
            <w:pPr>
              <w:tabs>
                <w:tab w:val="left" w:pos="5670"/>
              </w:tabs>
              <w:adjustRightInd w:val="0"/>
              <w:snapToGrid w:val="0"/>
              <w:jc w:val="right"/>
              <w:rPr>
                <w:rFonts w:ascii="Times New Roman" w:hAnsi="Times New Roman" w:eastAsia="仿宋_GB2312"/>
                <w:sz w:val="18"/>
                <w:szCs w:val="18"/>
              </w:rPr>
            </w:pPr>
            <w:r>
              <w:rPr>
                <w:rFonts w:hint="eastAsia" w:ascii="Times New Roman" w:hAnsi="Times New Roman" w:eastAsia="仿宋_GB2312"/>
                <w:sz w:val="18"/>
                <w:szCs w:val="18"/>
              </w:rPr>
              <w:t>日期：</w:t>
            </w:r>
            <w:r>
              <w:rPr>
                <w:rFonts w:ascii="Times New Roman" w:hAnsi="Times New Roman" w:eastAsia="仿宋_GB2312"/>
                <w:sz w:val="18"/>
                <w:szCs w:val="18"/>
              </w:rPr>
              <w:t xml:space="preserve">   </w:t>
            </w:r>
            <w:r>
              <w:rPr>
                <w:rFonts w:hint="eastAsia" w:ascii="Times New Roman" w:hAnsi="Times New Roman" w:eastAsia="仿宋_GB2312"/>
                <w:sz w:val="18"/>
                <w:szCs w:val="18"/>
              </w:rPr>
              <w:t>年</w:t>
            </w:r>
            <w:r>
              <w:rPr>
                <w:rFonts w:ascii="Times New Roman" w:hAnsi="Times New Roman" w:eastAsia="仿宋_GB2312"/>
                <w:sz w:val="18"/>
                <w:szCs w:val="18"/>
              </w:rPr>
              <w:t xml:space="preserve">   </w:t>
            </w:r>
            <w:r>
              <w:rPr>
                <w:rFonts w:hint="eastAsia" w:ascii="Times New Roman" w:hAnsi="Times New Roman" w:eastAsia="仿宋_GB2312"/>
                <w:sz w:val="18"/>
                <w:szCs w:val="18"/>
              </w:rPr>
              <w:t>月</w:t>
            </w:r>
            <w:r>
              <w:rPr>
                <w:rFonts w:ascii="Times New Roman" w:hAnsi="Times New Roman" w:eastAsia="仿宋_GB2312"/>
                <w:sz w:val="18"/>
                <w:szCs w:val="18"/>
              </w:rPr>
              <w:t xml:space="preserve">   </w:t>
            </w:r>
            <w:r>
              <w:rPr>
                <w:rFonts w:hint="eastAsia" w:ascii="Times New Roman" w:hAnsi="Times New Roman" w:eastAsia="仿宋_GB2312"/>
                <w:sz w:val="18"/>
                <w:szCs w:val="18"/>
              </w:rPr>
              <w:t>日</w:t>
            </w:r>
          </w:p>
        </w:tc>
        <w:tc>
          <w:tcPr>
            <w:tcW w:w="7018" w:type="dxa"/>
            <w:gridSpan w:val="7"/>
          </w:tcPr>
          <w:p>
            <w:pPr>
              <w:tabs>
                <w:tab w:val="left" w:pos="5670"/>
              </w:tabs>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法定代表人或主要负责人签字：</w:t>
            </w:r>
          </w:p>
          <w:p>
            <w:pPr>
              <w:tabs>
                <w:tab w:val="left" w:pos="5670"/>
              </w:tabs>
              <w:adjustRightInd w:val="0"/>
              <w:snapToGrid w:val="0"/>
              <w:jc w:val="left"/>
              <w:rPr>
                <w:rFonts w:ascii="仿宋_GB2312" w:hAnsi="Times New Roman" w:eastAsia="仿宋_GB2312"/>
                <w:sz w:val="18"/>
                <w:szCs w:val="18"/>
              </w:rPr>
            </w:pPr>
          </w:p>
          <w:p>
            <w:pPr>
              <w:tabs>
                <w:tab w:val="left" w:pos="5670"/>
              </w:tabs>
              <w:adjustRightInd w:val="0"/>
              <w:snapToGrid w:val="0"/>
              <w:jc w:val="left"/>
              <w:rPr>
                <w:rFonts w:ascii="仿宋_GB2312" w:hAnsi="Times New Roman" w:eastAsia="仿宋_GB2312"/>
                <w:sz w:val="18"/>
                <w:szCs w:val="18"/>
              </w:rPr>
            </w:pPr>
          </w:p>
          <w:p>
            <w:pPr>
              <w:tabs>
                <w:tab w:val="left" w:pos="5670"/>
              </w:tabs>
              <w:adjustRightInd w:val="0"/>
              <w:snapToGrid w:val="0"/>
              <w:jc w:val="right"/>
              <w:rPr>
                <w:rFonts w:ascii="仿宋_GB2312" w:hAnsi="Times New Roman" w:eastAsia="仿宋_GB2312"/>
                <w:sz w:val="18"/>
                <w:szCs w:val="18"/>
              </w:rPr>
            </w:pPr>
            <w:r>
              <w:rPr>
                <w:rFonts w:hint="eastAsia" w:ascii="仿宋_GB2312" w:hAnsi="Times New Roman" w:eastAsia="仿宋_GB2312"/>
                <w:sz w:val="18"/>
                <w:szCs w:val="18"/>
              </w:rPr>
              <w:t>日期：</w:t>
            </w:r>
            <w:r>
              <w:rPr>
                <w:rFonts w:ascii="仿宋_GB2312" w:hAnsi="Times New Roman" w:eastAsia="仿宋_GB2312"/>
                <w:sz w:val="18"/>
                <w:szCs w:val="18"/>
              </w:rPr>
              <w:t xml:space="preserve">   </w:t>
            </w:r>
            <w:r>
              <w:rPr>
                <w:rFonts w:hint="eastAsia" w:ascii="仿宋_GB2312" w:hAnsi="Times New Roman" w:eastAsia="仿宋_GB2312"/>
                <w:sz w:val="18"/>
                <w:szCs w:val="18"/>
              </w:rPr>
              <w:t>年</w:t>
            </w:r>
            <w:r>
              <w:rPr>
                <w:rFonts w:ascii="仿宋_GB2312" w:hAnsi="Times New Roman" w:eastAsia="仿宋_GB2312"/>
                <w:sz w:val="18"/>
                <w:szCs w:val="18"/>
              </w:rPr>
              <w:t xml:space="preserve">   </w:t>
            </w:r>
            <w:r>
              <w:rPr>
                <w:rFonts w:hint="eastAsia" w:ascii="仿宋_GB2312" w:hAnsi="Times New Roman" w:eastAsia="仿宋_GB2312"/>
                <w:sz w:val="18"/>
                <w:szCs w:val="18"/>
              </w:rPr>
              <w:t>月</w:t>
            </w:r>
            <w:r>
              <w:rPr>
                <w:rFonts w:ascii="仿宋_GB2312" w:hAnsi="Times New Roman" w:eastAsia="仿宋_GB2312"/>
                <w:sz w:val="18"/>
                <w:szCs w:val="18"/>
              </w:rPr>
              <w:t xml:space="preserve">   </w:t>
            </w:r>
            <w:r>
              <w:rPr>
                <w:rFonts w:hint="eastAsia" w:ascii="仿宋_GB2312" w:hAnsi="Times New Roman" w:eastAsia="仿宋_GB2312"/>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8" w:hRule="atLeast"/>
        </w:trPr>
        <w:tc>
          <w:tcPr>
            <w:tcW w:w="13992" w:type="dxa"/>
            <w:gridSpan w:val="12"/>
          </w:tcPr>
          <w:p>
            <w:pPr>
              <w:tabs>
                <w:tab w:val="left" w:pos="5670"/>
              </w:tabs>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用人单位盖章：</w:t>
            </w:r>
          </w:p>
          <w:p>
            <w:pPr>
              <w:tabs>
                <w:tab w:val="left" w:pos="5670"/>
              </w:tabs>
              <w:adjustRightInd w:val="0"/>
              <w:snapToGrid w:val="0"/>
              <w:jc w:val="left"/>
              <w:rPr>
                <w:rFonts w:ascii="仿宋_GB2312" w:hAnsi="Times New Roman" w:eastAsia="仿宋_GB2312"/>
                <w:sz w:val="18"/>
                <w:szCs w:val="18"/>
              </w:rPr>
            </w:pPr>
          </w:p>
          <w:p>
            <w:pPr>
              <w:adjustRightInd w:val="0"/>
              <w:snapToGrid w:val="0"/>
              <w:ind w:firstLine="360" w:firstLineChars="200"/>
              <w:jc w:val="left"/>
              <w:rPr>
                <w:rFonts w:ascii="仿宋_GB2312" w:hAnsi="Times New Roman" w:eastAsia="仿宋_GB2312"/>
                <w:sz w:val="18"/>
                <w:szCs w:val="18"/>
              </w:rPr>
            </w:pPr>
            <w:r>
              <w:rPr>
                <w:rFonts w:hint="eastAsia" w:ascii="仿宋_GB2312" w:hAnsi="Times New Roman" w:eastAsia="仿宋_GB2312"/>
                <w:sz w:val="18"/>
                <w:szCs w:val="18"/>
              </w:rPr>
              <w:t>此内容真实、准确、有效。如有不实，本单位愿意承担由此产生的一切法律责任。</w:t>
            </w:r>
          </w:p>
          <w:p>
            <w:pPr>
              <w:adjustRightInd w:val="0"/>
              <w:snapToGrid w:val="0"/>
              <w:jc w:val="left"/>
              <w:rPr>
                <w:rFonts w:ascii="仿宋_GB2312" w:hAnsi="Times New Roman" w:eastAsia="仿宋_GB2312"/>
                <w:sz w:val="18"/>
                <w:szCs w:val="18"/>
              </w:rPr>
            </w:pPr>
          </w:p>
          <w:p>
            <w:pPr>
              <w:widowControl/>
              <w:adjustRightInd w:val="0"/>
              <w:snapToGrid w:val="0"/>
              <w:jc w:val="right"/>
              <w:rPr>
                <w:rFonts w:ascii="仿宋_GB2312" w:hAnsi="Times New Roman" w:eastAsia="仿宋_GB2312"/>
                <w:kern w:val="0"/>
                <w:sz w:val="18"/>
                <w:szCs w:val="18"/>
              </w:rPr>
            </w:pPr>
            <w:r>
              <w:rPr>
                <w:rFonts w:hint="eastAsia" w:ascii="仿宋_GB2312" w:hAnsi="Times New Roman" w:eastAsia="仿宋_GB2312"/>
                <w:sz w:val="18"/>
                <w:szCs w:val="18"/>
              </w:rPr>
              <w:t>日期：</w:t>
            </w:r>
            <w:r>
              <w:rPr>
                <w:rFonts w:ascii="仿宋_GB2312" w:hAnsi="Times New Roman" w:eastAsia="仿宋_GB2312"/>
                <w:sz w:val="18"/>
                <w:szCs w:val="18"/>
              </w:rPr>
              <w:t xml:space="preserve">   </w:t>
            </w:r>
            <w:r>
              <w:rPr>
                <w:rFonts w:hint="eastAsia" w:ascii="仿宋_GB2312" w:hAnsi="Times New Roman" w:eastAsia="仿宋_GB2312"/>
                <w:sz w:val="18"/>
                <w:szCs w:val="18"/>
              </w:rPr>
              <w:t>年</w:t>
            </w:r>
            <w:r>
              <w:rPr>
                <w:rFonts w:ascii="仿宋_GB2312" w:hAnsi="Times New Roman" w:eastAsia="仿宋_GB2312"/>
                <w:sz w:val="18"/>
                <w:szCs w:val="18"/>
              </w:rPr>
              <w:t xml:space="preserve">   </w:t>
            </w:r>
            <w:r>
              <w:rPr>
                <w:rFonts w:hint="eastAsia" w:ascii="仿宋_GB2312" w:hAnsi="Times New Roman" w:eastAsia="仿宋_GB2312"/>
                <w:sz w:val="18"/>
                <w:szCs w:val="18"/>
              </w:rPr>
              <w:t>月</w:t>
            </w:r>
            <w:r>
              <w:rPr>
                <w:rFonts w:ascii="仿宋_GB2312" w:hAnsi="Times New Roman" w:eastAsia="仿宋_GB2312"/>
                <w:sz w:val="18"/>
                <w:szCs w:val="18"/>
              </w:rPr>
              <w:t xml:space="preserve">   </w:t>
            </w:r>
            <w:r>
              <w:rPr>
                <w:rFonts w:hint="eastAsia" w:ascii="仿宋_GB2312" w:hAnsi="Times New Roman" w:eastAsia="仿宋_GB2312"/>
                <w:sz w:val="18"/>
                <w:szCs w:val="18"/>
              </w:rPr>
              <w:t>日</w:t>
            </w:r>
          </w:p>
        </w:tc>
      </w:tr>
    </w:tbl>
    <w:p>
      <w:pPr>
        <w:adjustRightInd w:val="0"/>
        <w:snapToGrid w:val="0"/>
        <w:spacing w:line="600" w:lineRule="exact"/>
        <w:ind w:firstLine="640" w:firstLineChars="200"/>
        <w:rPr>
          <w:rFonts w:ascii="Times New Roman" w:hAnsi="Times New Roman" w:eastAsia="黑体"/>
          <w:bCs/>
          <w:sz w:val="32"/>
          <w:szCs w:val="32"/>
        </w:rPr>
        <w:sectPr>
          <w:footerReference r:id="rId8" w:type="default"/>
          <w:pgSz w:w="16838" w:h="11906" w:orient="landscape"/>
          <w:pgMar w:top="1418" w:right="1418" w:bottom="1418" w:left="1418" w:header="851" w:footer="992" w:gutter="0"/>
          <w:cols w:space="720" w:num="1"/>
          <w:docGrid w:linePitch="312" w:charSpace="0"/>
        </w:sectPr>
      </w:pPr>
    </w:p>
    <w:p>
      <w:pPr>
        <w:adjustRightInd w:val="0"/>
        <w:snapToGrid w:val="0"/>
        <w:spacing w:line="320" w:lineRule="exact"/>
        <w:outlineLvl w:val="2"/>
        <w:rPr>
          <w:rFonts w:ascii="黑体" w:hAnsi="黑体" w:eastAsia="黑体"/>
          <w:bCs/>
          <w:sz w:val="32"/>
          <w:szCs w:val="32"/>
        </w:rPr>
      </w:pPr>
      <w:r>
        <w:rPr>
          <w:rFonts w:hint="eastAsia" w:ascii="黑体" w:hAnsi="黑体" w:eastAsia="黑体"/>
          <w:bCs/>
          <w:sz w:val="32"/>
          <w:szCs w:val="32"/>
        </w:rPr>
        <w:t>附表</w:t>
      </w:r>
      <w:r>
        <w:rPr>
          <w:rFonts w:ascii="黑体" w:hAnsi="黑体" w:eastAsia="黑体"/>
          <w:bCs/>
          <w:sz w:val="32"/>
          <w:szCs w:val="32"/>
        </w:rPr>
        <w:t>3-2</w:t>
      </w:r>
    </w:p>
    <w:p>
      <w:pPr>
        <w:spacing w:line="480" w:lineRule="exact"/>
        <w:jc w:val="center"/>
        <w:rPr>
          <w:rFonts w:ascii="方正小标宋简体" w:hAnsi="仿宋_GB2312" w:eastAsia="方正小标宋简体" w:cs="仿宋_GB2312"/>
          <w:spacing w:val="14"/>
          <w:kern w:val="0"/>
          <w:sz w:val="44"/>
          <w:szCs w:val="44"/>
        </w:rPr>
      </w:pPr>
      <w:r>
        <w:rPr>
          <w:rFonts w:hint="eastAsia" w:ascii="方正小标宋简体" w:hAnsi="仿宋_GB2312" w:eastAsia="方正小标宋简体" w:cs="仿宋_GB2312"/>
          <w:spacing w:val="14"/>
          <w:kern w:val="0"/>
          <w:sz w:val="44"/>
          <w:szCs w:val="44"/>
        </w:rPr>
        <w:t>用人单位职业卫生管理自查表</w:t>
      </w:r>
    </w:p>
    <w:p>
      <w:pPr>
        <w:spacing w:line="240" w:lineRule="exact"/>
        <w:rPr>
          <w:rFonts w:ascii="Times New Roman" w:hAnsi="Times New Roman" w:eastAsia="仿宋_GB2312"/>
          <w:b/>
          <w:kern w:val="0"/>
          <w:sz w:val="28"/>
          <w:szCs w:val="28"/>
        </w:rPr>
      </w:pPr>
    </w:p>
    <w:p>
      <w:pPr>
        <w:rPr>
          <w:rFonts w:ascii="Times New Roman" w:hAnsi="Times New Roman" w:eastAsia="仿宋_GB2312"/>
          <w:b/>
          <w:sz w:val="28"/>
          <w:szCs w:val="28"/>
        </w:rPr>
      </w:pPr>
      <w:r>
        <w:rPr>
          <w:rFonts w:hint="eastAsia" w:ascii="Times New Roman" w:hAnsi="Times New Roman" w:eastAsia="仿宋_GB2312"/>
          <w:b/>
          <w:kern w:val="0"/>
          <w:sz w:val="28"/>
          <w:szCs w:val="28"/>
        </w:rPr>
        <w:t>单位名称：</w:t>
      </w:r>
      <w:r>
        <w:rPr>
          <w:rFonts w:ascii="Times New Roman" w:hAnsi="Times New Roman" w:eastAsia="仿宋_GB2312"/>
          <w:b/>
          <w:sz w:val="28"/>
          <w:szCs w:val="28"/>
        </w:rPr>
        <w:t xml:space="preserve">                                                </w:t>
      </w:r>
      <w:r>
        <w:rPr>
          <w:rFonts w:hint="eastAsia" w:ascii="Times New Roman" w:hAnsi="Times New Roman" w:eastAsia="仿宋_GB2312"/>
          <w:b/>
          <w:sz w:val="28"/>
          <w:szCs w:val="28"/>
        </w:rPr>
        <w:t>职业卫生管理状况等级：</w:t>
      </w:r>
    </w:p>
    <w:tbl>
      <w:tblPr>
        <w:tblStyle w:val="7"/>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946"/>
        <w:gridCol w:w="3252"/>
        <w:gridCol w:w="2071"/>
        <w:gridCol w:w="143"/>
        <w:gridCol w:w="1335"/>
        <w:gridCol w:w="1329"/>
        <w:gridCol w:w="1332"/>
        <w:gridCol w:w="1038"/>
        <w:gridCol w:w="442"/>
        <w:gridCol w:w="1035"/>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74" w:type="dxa"/>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类别</w:t>
            </w:r>
          </w:p>
        </w:tc>
        <w:tc>
          <w:tcPr>
            <w:tcW w:w="946" w:type="dxa"/>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自查项目</w:t>
            </w:r>
          </w:p>
        </w:tc>
        <w:tc>
          <w:tcPr>
            <w:tcW w:w="3252" w:type="dxa"/>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自查内容</w:t>
            </w:r>
          </w:p>
        </w:tc>
        <w:tc>
          <w:tcPr>
            <w:tcW w:w="2071" w:type="dxa"/>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自查方法</w:t>
            </w:r>
          </w:p>
        </w:tc>
        <w:tc>
          <w:tcPr>
            <w:tcW w:w="5177" w:type="dxa"/>
            <w:gridSpan w:val="5"/>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判定依据</w:t>
            </w:r>
          </w:p>
        </w:tc>
        <w:tc>
          <w:tcPr>
            <w:tcW w:w="442" w:type="dxa"/>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分值</w:t>
            </w:r>
          </w:p>
        </w:tc>
        <w:tc>
          <w:tcPr>
            <w:tcW w:w="1035" w:type="dxa"/>
            <w:vMerge w:val="restart"/>
            <w:vAlign w:val="center"/>
          </w:tcPr>
          <w:p>
            <w:pPr>
              <w:widowControl/>
              <w:adjustRightInd w:val="0"/>
              <w:snapToGrid w:val="0"/>
              <w:jc w:val="center"/>
              <w:rPr>
                <w:rFonts w:ascii="仿宋_GB2312" w:hAnsi="Times New Roman" w:eastAsia="仿宋_GB2312"/>
                <w:b/>
                <w:kern w:val="0"/>
                <w:sz w:val="18"/>
                <w:szCs w:val="18"/>
              </w:rPr>
            </w:pPr>
            <w:r>
              <w:rPr>
                <w:rFonts w:hint="eastAsia" w:ascii="仿宋_GB2312" w:hAnsi="Times New Roman" w:eastAsia="仿宋_GB2312"/>
                <w:b/>
                <w:kern w:val="0"/>
                <w:sz w:val="18"/>
                <w:szCs w:val="18"/>
              </w:rPr>
              <w:t>自查结果</w:t>
            </w:r>
          </w:p>
        </w:tc>
        <w:tc>
          <w:tcPr>
            <w:tcW w:w="395" w:type="dxa"/>
            <w:vMerge w:val="restart"/>
            <w:vAlign w:val="center"/>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 w:hRule="atLeast"/>
          <w:tblHeader/>
        </w:trPr>
        <w:tc>
          <w:tcPr>
            <w:tcW w:w="674" w:type="dxa"/>
            <w:vMerge w:val="continue"/>
            <w:vAlign w:val="center"/>
          </w:tcPr>
          <w:p>
            <w:pPr>
              <w:widowControl/>
              <w:adjustRightInd w:val="0"/>
              <w:snapToGrid w:val="0"/>
              <w:jc w:val="center"/>
              <w:rPr>
                <w:rFonts w:ascii="Times New Roman" w:hAnsi="Times New Roman" w:eastAsia="仿宋_GB2312"/>
                <w:b/>
                <w:kern w:val="0"/>
                <w:sz w:val="18"/>
                <w:szCs w:val="18"/>
              </w:rPr>
            </w:pPr>
          </w:p>
        </w:tc>
        <w:tc>
          <w:tcPr>
            <w:tcW w:w="946" w:type="dxa"/>
            <w:vMerge w:val="continue"/>
            <w:vAlign w:val="center"/>
          </w:tcPr>
          <w:p>
            <w:pPr>
              <w:widowControl/>
              <w:adjustRightInd w:val="0"/>
              <w:snapToGrid w:val="0"/>
              <w:jc w:val="center"/>
              <w:rPr>
                <w:rFonts w:ascii="Times New Roman" w:hAnsi="Times New Roman" w:eastAsia="仿宋_GB2312"/>
                <w:b/>
                <w:kern w:val="0"/>
                <w:sz w:val="18"/>
                <w:szCs w:val="18"/>
              </w:rPr>
            </w:pPr>
          </w:p>
        </w:tc>
        <w:tc>
          <w:tcPr>
            <w:tcW w:w="3252" w:type="dxa"/>
            <w:vMerge w:val="continue"/>
            <w:vAlign w:val="center"/>
          </w:tcPr>
          <w:p>
            <w:pPr>
              <w:widowControl/>
              <w:adjustRightInd w:val="0"/>
              <w:snapToGrid w:val="0"/>
              <w:jc w:val="center"/>
              <w:rPr>
                <w:rFonts w:ascii="Times New Roman" w:hAnsi="Times New Roman" w:eastAsia="仿宋_GB2312"/>
                <w:b/>
                <w:kern w:val="0"/>
                <w:sz w:val="18"/>
                <w:szCs w:val="18"/>
              </w:rPr>
            </w:pPr>
          </w:p>
        </w:tc>
        <w:tc>
          <w:tcPr>
            <w:tcW w:w="2071" w:type="dxa"/>
            <w:vMerge w:val="continue"/>
            <w:vAlign w:val="center"/>
          </w:tcPr>
          <w:p>
            <w:pPr>
              <w:widowControl/>
              <w:adjustRightInd w:val="0"/>
              <w:snapToGrid w:val="0"/>
              <w:jc w:val="center"/>
              <w:rPr>
                <w:rFonts w:ascii="Times New Roman" w:hAnsi="Times New Roman" w:eastAsia="仿宋_GB2312"/>
                <w:b/>
                <w:kern w:val="0"/>
                <w:sz w:val="18"/>
                <w:szCs w:val="18"/>
              </w:rPr>
            </w:pPr>
          </w:p>
        </w:tc>
        <w:tc>
          <w:tcPr>
            <w:tcW w:w="1478" w:type="dxa"/>
            <w:gridSpan w:val="2"/>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符合</w:t>
            </w:r>
          </w:p>
        </w:tc>
        <w:tc>
          <w:tcPr>
            <w:tcW w:w="1329" w:type="dxa"/>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基本符合</w:t>
            </w:r>
          </w:p>
        </w:tc>
        <w:tc>
          <w:tcPr>
            <w:tcW w:w="1332" w:type="dxa"/>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不符合</w:t>
            </w:r>
          </w:p>
        </w:tc>
        <w:tc>
          <w:tcPr>
            <w:tcW w:w="1038" w:type="dxa"/>
          </w:tcPr>
          <w:p>
            <w:pPr>
              <w:widowControl/>
              <w:adjustRightInd w:val="0"/>
              <w:snapToGrid w:val="0"/>
              <w:jc w:val="center"/>
              <w:rPr>
                <w:rFonts w:ascii="Times New Roman" w:hAnsi="Times New Roman" w:eastAsia="仿宋_GB2312"/>
                <w:b/>
                <w:kern w:val="0"/>
                <w:sz w:val="18"/>
                <w:szCs w:val="18"/>
              </w:rPr>
            </w:pPr>
            <w:r>
              <w:rPr>
                <w:rFonts w:hint="eastAsia" w:ascii="Times New Roman" w:hAnsi="Times New Roman" w:eastAsia="仿宋_GB2312"/>
                <w:b/>
                <w:kern w:val="0"/>
                <w:sz w:val="18"/>
                <w:szCs w:val="18"/>
              </w:rPr>
              <w:t>合理缺项</w:t>
            </w:r>
          </w:p>
        </w:tc>
        <w:tc>
          <w:tcPr>
            <w:tcW w:w="442" w:type="dxa"/>
            <w:vMerge w:val="continue"/>
            <w:vAlign w:val="center"/>
          </w:tcPr>
          <w:p>
            <w:pPr>
              <w:widowControl/>
              <w:adjustRightInd w:val="0"/>
              <w:snapToGrid w:val="0"/>
              <w:jc w:val="center"/>
              <w:rPr>
                <w:rFonts w:ascii="Times New Roman" w:hAnsi="Times New Roman" w:eastAsia="仿宋_GB2312"/>
                <w:b/>
                <w:kern w:val="0"/>
                <w:sz w:val="18"/>
                <w:szCs w:val="18"/>
              </w:rPr>
            </w:pPr>
          </w:p>
        </w:tc>
        <w:tc>
          <w:tcPr>
            <w:tcW w:w="1035" w:type="dxa"/>
            <w:vMerge w:val="continue"/>
            <w:vAlign w:val="center"/>
          </w:tcPr>
          <w:p>
            <w:pPr>
              <w:widowControl/>
              <w:adjustRightInd w:val="0"/>
              <w:snapToGrid w:val="0"/>
              <w:jc w:val="left"/>
              <w:rPr>
                <w:rFonts w:ascii="仿宋_GB2312" w:hAnsi="Times New Roman" w:eastAsia="仿宋_GB2312"/>
                <w:b/>
                <w:kern w:val="0"/>
                <w:sz w:val="18"/>
                <w:szCs w:val="18"/>
              </w:rPr>
            </w:pPr>
          </w:p>
        </w:tc>
        <w:tc>
          <w:tcPr>
            <w:tcW w:w="395" w:type="dxa"/>
            <w:vMerge w:val="continue"/>
            <w:vAlign w:val="center"/>
          </w:tcPr>
          <w:p>
            <w:pPr>
              <w:widowControl/>
              <w:adjustRightInd w:val="0"/>
              <w:snapToGrid w:val="0"/>
              <w:jc w:val="center"/>
              <w:rPr>
                <w:rFonts w:ascii="Times New Roman" w:hAnsi="Times New Roman"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一、职业病防治管理措施</w:t>
            </w:r>
          </w:p>
        </w:tc>
        <w:tc>
          <w:tcPr>
            <w:tcW w:w="946" w:type="dxa"/>
            <w:vAlign w:val="center"/>
          </w:tcPr>
          <w:p>
            <w:pPr>
              <w:numPr>
                <w:ilvl w:val="0"/>
                <w:numId w:val="2"/>
              </w:numPr>
              <w:tabs>
                <w:tab w:val="left" w:pos="253"/>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制度和操作规程</w:t>
            </w:r>
          </w:p>
        </w:tc>
        <w:tc>
          <w:tcPr>
            <w:tcW w:w="325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建立健全职业卫生管理制度和操作规程，内容包括职业病危害防治责任、警示与告知、职业病危害项目申报、职业病防治宣传教育培训、职业病防护设施维护检修、职业病防护用品管理、职业病危害监测及评价管理、建设项目职业病防护设施</w:t>
            </w:r>
            <w:r>
              <w:rPr>
                <w:rFonts w:ascii="Times New Roman" w:hAnsi="Times New Roman" w:eastAsia="仿宋_GB2312"/>
                <w:sz w:val="18"/>
                <w:szCs w:val="18"/>
              </w:rPr>
              <w:t>“</w:t>
            </w:r>
            <w:r>
              <w:rPr>
                <w:rFonts w:hint="eastAsia" w:ascii="Times New Roman" w:hAnsi="Times New Roman" w:eastAsia="仿宋_GB2312"/>
                <w:sz w:val="18"/>
                <w:szCs w:val="18"/>
              </w:rPr>
              <w:t>三同时</w:t>
            </w:r>
            <w:r>
              <w:rPr>
                <w:rFonts w:ascii="Times New Roman" w:hAnsi="Times New Roman" w:eastAsia="仿宋_GB2312"/>
                <w:sz w:val="18"/>
                <w:szCs w:val="18"/>
              </w:rPr>
              <w:t>”</w:t>
            </w:r>
            <w:r>
              <w:rPr>
                <w:rFonts w:hint="eastAsia" w:ascii="Times New Roman" w:hAnsi="Times New Roman" w:eastAsia="仿宋_GB2312"/>
                <w:sz w:val="18"/>
                <w:szCs w:val="18"/>
              </w:rPr>
              <w:t>管理、劳动者职业健康监护及其档案管理、职业病危害事故处置与报告、职业病危害应急救援与管理、岗位职业卫生操作规程等。</w:t>
            </w:r>
          </w:p>
        </w:tc>
        <w:tc>
          <w:tcPr>
            <w:tcW w:w="2071"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查阅制度、操作规程等文件，制度应明确责任部门和管理要求，且符合自身特点，满足管理要求</w:t>
            </w:r>
          </w:p>
        </w:tc>
        <w:tc>
          <w:tcPr>
            <w:tcW w:w="1478" w:type="dxa"/>
            <w:gridSpan w:val="2"/>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制度齐全；职责清晰；符合单位自身特点，具有可操作性</w:t>
            </w:r>
          </w:p>
        </w:tc>
        <w:tc>
          <w:tcPr>
            <w:tcW w:w="132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制度基本齐全</w:t>
            </w:r>
            <w:r>
              <w:rPr>
                <w:rFonts w:ascii="Times New Roman" w:hAnsi="Times New Roman" w:eastAsia="仿宋_GB2312"/>
                <w:sz w:val="18"/>
                <w:szCs w:val="18"/>
              </w:rPr>
              <w:t>(</w:t>
            </w:r>
            <w:r>
              <w:rPr>
                <w:rFonts w:hint="eastAsia" w:ascii="Times New Roman" w:hAnsi="Times New Roman" w:eastAsia="仿宋_GB2312"/>
                <w:sz w:val="18"/>
                <w:szCs w:val="18"/>
              </w:rPr>
              <w:t>缺少</w:t>
            </w:r>
            <w:r>
              <w:rPr>
                <w:rFonts w:ascii="Times New Roman" w:hAnsi="Times New Roman" w:eastAsia="仿宋_GB2312"/>
                <w:sz w:val="18"/>
                <w:szCs w:val="18"/>
              </w:rPr>
              <w:t>1</w:t>
            </w:r>
            <w:r>
              <w:rPr>
                <w:rFonts w:hint="eastAsia" w:ascii="Times New Roman" w:hAnsi="Times New Roman" w:eastAsia="仿宋_GB2312"/>
                <w:sz w:val="18"/>
                <w:szCs w:val="18"/>
              </w:rPr>
              <w:t>～</w:t>
            </w:r>
            <w:r>
              <w:rPr>
                <w:rFonts w:ascii="Times New Roman" w:hAnsi="Times New Roman" w:eastAsia="仿宋_GB2312"/>
                <w:sz w:val="18"/>
                <w:szCs w:val="18"/>
              </w:rPr>
              <w:t>3</w:t>
            </w:r>
            <w:r>
              <w:rPr>
                <w:rFonts w:hint="eastAsia" w:ascii="Times New Roman" w:hAnsi="Times New Roman" w:eastAsia="仿宋_GB2312"/>
                <w:sz w:val="18"/>
                <w:szCs w:val="18"/>
              </w:rPr>
              <w:t>项</w:t>
            </w:r>
            <w:r>
              <w:rPr>
                <w:rFonts w:ascii="Times New Roman" w:hAnsi="Times New Roman" w:eastAsia="仿宋_GB2312"/>
                <w:sz w:val="18"/>
                <w:szCs w:val="18"/>
              </w:rPr>
              <w:t>)</w:t>
            </w:r>
            <w:r>
              <w:rPr>
                <w:rFonts w:hint="eastAsia" w:ascii="Times New Roman" w:hAnsi="Times New Roman" w:eastAsia="仿宋_GB2312"/>
                <w:sz w:val="18"/>
                <w:szCs w:val="18"/>
              </w:rPr>
              <w:t>；职责较清晰；具有一定的可操作性</w:t>
            </w:r>
          </w:p>
        </w:tc>
        <w:tc>
          <w:tcPr>
            <w:tcW w:w="133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制度不齐全</w:t>
            </w:r>
            <w:r>
              <w:rPr>
                <w:rFonts w:ascii="Times New Roman" w:hAnsi="Times New Roman" w:eastAsia="仿宋_GB2312"/>
                <w:sz w:val="18"/>
                <w:szCs w:val="18"/>
              </w:rPr>
              <w:t>(</w:t>
            </w:r>
            <w:r>
              <w:rPr>
                <w:rFonts w:hint="eastAsia" w:ascii="Times New Roman" w:hAnsi="Times New Roman" w:eastAsia="仿宋_GB2312"/>
                <w:sz w:val="18"/>
                <w:szCs w:val="18"/>
              </w:rPr>
              <w:t>缺少</w:t>
            </w:r>
            <w:r>
              <w:rPr>
                <w:rFonts w:ascii="Times New Roman" w:hAnsi="Times New Roman" w:eastAsia="仿宋_GB2312"/>
                <w:sz w:val="18"/>
                <w:szCs w:val="18"/>
              </w:rPr>
              <w:t>4</w:t>
            </w:r>
            <w:r>
              <w:rPr>
                <w:rFonts w:hint="eastAsia" w:ascii="Times New Roman" w:hAnsi="Times New Roman" w:eastAsia="仿宋_GB2312"/>
                <w:sz w:val="18"/>
                <w:szCs w:val="18"/>
              </w:rPr>
              <w:t>项及以上</w:t>
            </w:r>
            <w:r>
              <w:rPr>
                <w:rFonts w:ascii="Times New Roman" w:hAnsi="Times New Roman" w:eastAsia="仿宋_GB2312"/>
                <w:sz w:val="18"/>
                <w:szCs w:val="18"/>
              </w:rPr>
              <w:t>)</w:t>
            </w:r>
            <w:r>
              <w:rPr>
                <w:rFonts w:hint="eastAsia" w:ascii="Times New Roman" w:hAnsi="Times New Roman" w:eastAsia="仿宋_GB2312"/>
                <w:sz w:val="18"/>
                <w:szCs w:val="18"/>
              </w:rPr>
              <w:t>；或职责不清晰，或不具有可操作性</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15</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vAlign w:val="center"/>
          </w:tcPr>
          <w:p>
            <w:pPr>
              <w:widowControl/>
              <w:adjustRightInd w:val="0"/>
              <w:snapToGrid w:val="0"/>
              <w:rPr>
                <w:rFonts w:ascii="Times New Roman" w:hAnsi="Times New Roman" w:eastAsia="仿宋_GB2312"/>
                <w:kern w:val="0"/>
                <w:sz w:val="18"/>
                <w:szCs w:val="18"/>
              </w:rPr>
            </w:pPr>
          </w:p>
        </w:tc>
        <w:tc>
          <w:tcPr>
            <w:tcW w:w="946" w:type="dxa"/>
            <w:vAlign w:val="center"/>
          </w:tcPr>
          <w:p>
            <w:pPr>
              <w:numPr>
                <w:ilvl w:val="0"/>
                <w:numId w:val="2"/>
              </w:numPr>
              <w:tabs>
                <w:tab w:val="left" w:pos="253"/>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管理机构和人员</w:t>
            </w:r>
          </w:p>
        </w:tc>
        <w:tc>
          <w:tcPr>
            <w:tcW w:w="3252" w:type="dxa"/>
            <w:vAlign w:val="center"/>
          </w:tcPr>
          <w:p>
            <w:pPr>
              <w:widowControl/>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配备专职或者兼职职业卫生管理人员。职业病危害严重的企业应配备专职职业卫生管理人员；其他存在职业病危害的用人单位应当配备专职或者兼职职业卫生管理人员。</w:t>
            </w:r>
          </w:p>
        </w:tc>
        <w:tc>
          <w:tcPr>
            <w:tcW w:w="2071" w:type="dxa"/>
            <w:vAlign w:val="center"/>
          </w:tcPr>
          <w:p>
            <w:pPr>
              <w:widowControl/>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查阅相关文件，文件应明确设置或指定职业卫生管理机构或者组织，并检查机构或组织工作开展情况；查阅管理人员任命文件，并核实管理人员的工作情况</w:t>
            </w:r>
          </w:p>
        </w:tc>
        <w:tc>
          <w:tcPr>
            <w:tcW w:w="1478" w:type="dxa"/>
            <w:gridSpan w:val="2"/>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有职业卫生管理机构成立文件和管理人员任命文件，职责清晰，且能够按职责分工开展工作</w:t>
            </w:r>
          </w:p>
        </w:tc>
        <w:tc>
          <w:tcPr>
            <w:tcW w:w="132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有职业卫生管理机构成立文件和管理人员任命文件，职责较清晰，基本能够按职责分工开展工作</w:t>
            </w:r>
          </w:p>
        </w:tc>
        <w:tc>
          <w:tcPr>
            <w:tcW w:w="133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无职业卫生管理机构成立文件或管理人员任命文件；或职责不清晰，未履行相关职责</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15</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vAlign w:val="center"/>
          </w:tcPr>
          <w:p>
            <w:pPr>
              <w:widowControl/>
              <w:adjustRightInd w:val="0"/>
              <w:snapToGrid w:val="0"/>
              <w:rPr>
                <w:rFonts w:ascii="Times New Roman" w:hAnsi="Times New Roman" w:eastAsia="仿宋_GB2312"/>
                <w:kern w:val="0"/>
                <w:sz w:val="18"/>
                <w:szCs w:val="18"/>
              </w:rPr>
            </w:pPr>
          </w:p>
        </w:tc>
        <w:tc>
          <w:tcPr>
            <w:tcW w:w="946" w:type="dxa"/>
            <w:vAlign w:val="center"/>
          </w:tcPr>
          <w:p>
            <w:pPr>
              <w:numPr>
                <w:ilvl w:val="0"/>
                <w:numId w:val="2"/>
              </w:numPr>
              <w:tabs>
                <w:tab w:val="left" w:pos="253"/>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职业卫生档案</w:t>
            </w:r>
          </w:p>
        </w:tc>
        <w:tc>
          <w:tcPr>
            <w:tcW w:w="325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建立健全职业卫生档案和劳动者健康监护档案，包括建设项目职业病防护设施</w:t>
            </w:r>
            <w:r>
              <w:rPr>
                <w:rFonts w:ascii="Times New Roman" w:hAnsi="Times New Roman" w:eastAsia="仿宋_GB2312"/>
                <w:sz w:val="18"/>
                <w:szCs w:val="18"/>
              </w:rPr>
              <w:t>“</w:t>
            </w:r>
            <w:r>
              <w:rPr>
                <w:rFonts w:hint="eastAsia" w:ascii="Times New Roman" w:hAnsi="Times New Roman" w:eastAsia="仿宋_GB2312"/>
                <w:sz w:val="18"/>
                <w:szCs w:val="18"/>
              </w:rPr>
              <w:t>三同时</w:t>
            </w:r>
            <w:r>
              <w:rPr>
                <w:rFonts w:ascii="Times New Roman" w:hAnsi="Times New Roman" w:eastAsia="仿宋_GB2312"/>
                <w:sz w:val="18"/>
                <w:szCs w:val="18"/>
              </w:rPr>
              <w:t>”</w:t>
            </w:r>
            <w:r>
              <w:rPr>
                <w:rFonts w:hint="eastAsia" w:ascii="Times New Roman" w:hAnsi="Times New Roman" w:eastAsia="仿宋_GB2312"/>
                <w:sz w:val="18"/>
                <w:szCs w:val="18"/>
              </w:rPr>
              <w:t>档案；职业卫生管理档案；职业卫生宣传培训档案；职业病危害因素监测与检测评价档案；用人单位职业健康监护管理档案；劳动者个人职业健康监护档案等</w:t>
            </w:r>
          </w:p>
        </w:tc>
        <w:tc>
          <w:tcPr>
            <w:tcW w:w="2071"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检查档案内容的完整性和符合性</w:t>
            </w:r>
          </w:p>
        </w:tc>
        <w:tc>
          <w:tcPr>
            <w:tcW w:w="1478" w:type="dxa"/>
            <w:gridSpan w:val="2"/>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档案种类齐全、内容完整，符合职业卫生档案管理要求</w:t>
            </w:r>
          </w:p>
        </w:tc>
        <w:tc>
          <w:tcPr>
            <w:tcW w:w="132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档案种类基本齐全</w:t>
            </w:r>
            <w:r>
              <w:rPr>
                <w:rFonts w:ascii="Times New Roman" w:hAnsi="Times New Roman" w:eastAsia="仿宋_GB2312"/>
                <w:sz w:val="18"/>
                <w:szCs w:val="18"/>
              </w:rPr>
              <w:t>(</w:t>
            </w:r>
            <w:r>
              <w:rPr>
                <w:rFonts w:hint="eastAsia" w:ascii="Times New Roman" w:hAnsi="Times New Roman" w:eastAsia="仿宋_GB2312"/>
                <w:sz w:val="18"/>
                <w:szCs w:val="18"/>
              </w:rPr>
              <w:t>缺少</w:t>
            </w:r>
            <w:r>
              <w:rPr>
                <w:rFonts w:ascii="Times New Roman" w:hAnsi="Times New Roman" w:eastAsia="仿宋_GB2312"/>
                <w:sz w:val="18"/>
                <w:szCs w:val="18"/>
              </w:rPr>
              <w:t>1</w:t>
            </w:r>
            <w:r>
              <w:rPr>
                <w:rFonts w:hint="eastAsia" w:ascii="Times New Roman" w:hAnsi="Times New Roman" w:eastAsia="仿宋_GB2312"/>
                <w:sz w:val="18"/>
                <w:szCs w:val="18"/>
              </w:rPr>
              <w:t>～</w:t>
            </w:r>
            <w:r>
              <w:rPr>
                <w:rFonts w:ascii="Times New Roman" w:hAnsi="Times New Roman" w:eastAsia="仿宋_GB2312"/>
                <w:sz w:val="18"/>
                <w:szCs w:val="18"/>
              </w:rPr>
              <w:t>2</w:t>
            </w:r>
            <w:r>
              <w:rPr>
                <w:rFonts w:hint="eastAsia" w:ascii="Times New Roman" w:hAnsi="Times New Roman" w:eastAsia="仿宋_GB2312"/>
                <w:sz w:val="18"/>
                <w:szCs w:val="18"/>
              </w:rPr>
              <w:t>项</w:t>
            </w:r>
            <w:r>
              <w:rPr>
                <w:rFonts w:ascii="Times New Roman" w:hAnsi="Times New Roman" w:eastAsia="仿宋_GB2312"/>
                <w:sz w:val="18"/>
                <w:szCs w:val="18"/>
              </w:rPr>
              <w:t>)</w:t>
            </w:r>
            <w:r>
              <w:rPr>
                <w:rFonts w:hint="eastAsia" w:ascii="Times New Roman" w:hAnsi="Times New Roman" w:eastAsia="仿宋_GB2312"/>
                <w:sz w:val="18"/>
                <w:szCs w:val="18"/>
              </w:rPr>
              <w:t>、内容基本完整，基本符合档案管理要求</w:t>
            </w:r>
          </w:p>
        </w:tc>
        <w:tc>
          <w:tcPr>
            <w:tcW w:w="133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档案种类不齐全</w:t>
            </w:r>
            <w:r>
              <w:rPr>
                <w:rFonts w:ascii="Times New Roman" w:hAnsi="Times New Roman" w:eastAsia="仿宋_GB2312"/>
                <w:sz w:val="18"/>
                <w:szCs w:val="18"/>
              </w:rPr>
              <w:t>(</w:t>
            </w:r>
            <w:r>
              <w:rPr>
                <w:rFonts w:hint="eastAsia" w:ascii="Times New Roman" w:hAnsi="Times New Roman" w:eastAsia="仿宋_GB2312"/>
                <w:sz w:val="18"/>
                <w:szCs w:val="18"/>
              </w:rPr>
              <w:t>缺少</w:t>
            </w:r>
            <w:r>
              <w:rPr>
                <w:rFonts w:ascii="Times New Roman" w:hAnsi="Times New Roman" w:eastAsia="仿宋_GB2312"/>
                <w:sz w:val="18"/>
                <w:szCs w:val="18"/>
              </w:rPr>
              <w:t>3</w:t>
            </w:r>
            <w:r>
              <w:rPr>
                <w:rFonts w:hint="eastAsia" w:ascii="Times New Roman" w:hAnsi="Times New Roman" w:eastAsia="仿宋_GB2312"/>
                <w:sz w:val="18"/>
                <w:szCs w:val="18"/>
              </w:rPr>
              <w:t>项及以上</w:t>
            </w:r>
            <w:r>
              <w:rPr>
                <w:rFonts w:ascii="Times New Roman" w:hAnsi="Times New Roman" w:eastAsia="仿宋_GB2312"/>
                <w:sz w:val="18"/>
                <w:szCs w:val="18"/>
              </w:rPr>
              <w:t>)</w:t>
            </w:r>
            <w:r>
              <w:rPr>
                <w:rFonts w:hint="eastAsia" w:ascii="Times New Roman" w:hAnsi="Times New Roman" w:eastAsia="仿宋_GB2312"/>
                <w:sz w:val="18"/>
                <w:szCs w:val="18"/>
              </w:rPr>
              <w:t>，内容缺项较多，不符合档案管理要求</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Align w:val="center"/>
          </w:tcPr>
          <w:p>
            <w:pPr>
              <w:tabs>
                <w:tab w:val="left" w:pos="253"/>
              </w:tabs>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二、职业病危害项目申报</w:t>
            </w:r>
          </w:p>
        </w:tc>
        <w:tc>
          <w:tcPr>
            <w:tcW w:w="946" w:type="dxa"/>
            <w:vAlign w:val="center"/>
          </w:tcPr>
          <w:p>
            <w:pPr>
              <w:numPr>
                <w:ilvl w:val="0"/>
                <w:numId w:val="2"/>
              </w:numPr>
              <w:tabs>
                <w:tab w:val="left" w:pos="253"/>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职业病危害项目申报</w:t>
            </w:r>
          </w:p>
        </w:tc>
        <w:tc>
          <w:tcPr>
            <w:tcW w:w="3252"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工作场所存在职业病目录所列职业病的危害因素的，应当及时、如实向所在地卫生健康主管部门申报危害项目，接受监督。重要事项变化时及时进行变更申报。</w:t>
            </w:r>
          </w:p>
        </w:tc>
        <w:tc>
          <w:tcPr>
            <w:tcW w:w="2071"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查看申报回执或查询申报系统；查看申报内容与实际是否相符</w:t>
            </w:r>
          </w:p>
        </w:tc>
        <w:tc>
          <w:tcPr>
            <w:tcW w:w="1478" w:type="dxa"/>
            <w:gridSpan w:val="2"/>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按要求进行申报；申报内容与实际相符</w:t>
            </w:r>
          </w:p>
        </w:tc>
        <w:tc>
          <w:tcPr>
            <w:tcW w:w="1329"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33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未进行申报；或申报内容与实际严重不符</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三、</w:t>
            </w:r>
            <w:r>
              <w:rPr>
                <w:rFonts w:ascii="Times New Roman" w:hAnsi="Times New Roman" w:eastAsia="仿宋_GB2312"/>
                <w:sz w:val="18"/>
                <w:szCs w:val="18"/>
              </w:rPr>
              <w:t xml:space="preserve"> </w:t>
            </w:r>
            <w:r>
              <w:rPr>
                <w:rFonts w:hint="eastAsia" w:ascii="Times New Roman" w:hAnsi="Times New Roman" w:eastAsia="仿宋_GB2312"/>
                <w:sz w:val="18"/>
                <w:szCs w:val="18"/>
              </w:rPr>
              <w:t>建设项目职业病防护设施</w:t>
            </w:r>
            <w:r>
              <w:rPr>
                <w:rFonts w:ascii="Times New Roman" w:hAnsi="Times New Roman" w:eastAsia="仿宋_GB2312"/>
                <w:sz w:val="18"/>
                <w:szCs w:val="18"/>
              </w:rPr>
              <w:t>“</w:t>
            </w:r>
            <w:r>
              <w:rPr>
                <w:rFonts w:hint="eastAsia" w:ascii="Times New Roman" w:hAnsi="Times New Roman" w:eastAsia="仿宋_GB2312"/>
                <w:sz w:val="18"/>
                <w:szCs w:val="18"/>
              </w:rPr>
              <w:t>三同时</w:t>
            </w:r>
            <w:r>
              <w:rPr>
                <w:rFonts w:ascii="Times New Roman" w:hAnsi="Times New Roman" w:eastAsia="仿宋_GB2312"/>
                <w:sz w:val="18"/>
                <w:szCs w:val="18"/>
              </w:rPr>
              <w:t>”</w:t>
            </w:r>
          </w:p>
        </w:tc>
        <w:tc>
          <w:tcPr>
            <w:tcW w:w="946" w:type="dxa"/>
            <w:vAlign w:val="center"/>
          </w:tcPr>
          <w:p>
            <w:pPr>
              <w:numPr>
                <w:ilvl w:val="0"/>
                <w:numId w:val="2"/>
              </w:numPr>
              <w:tabs>
                <w:tab w:val="left" w:pos="253"/>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职业病防护设施</w:t>
            </w:r>
            <w:r>
              <w:rPr>
                <w:rFonts w:ascii="Times New Roman" w:hAnsi="Times New Roman" w:eastAsia="仿宋_GB2312"/>
                <w:sz w:val="18"/>
                <w:szCs w:val="18"/>
              </w:rPr>
              <w:t>“</w:t>
            </w:r>
            <w:r>
              <w:rPr>
                <w:rFonts w:hint="eastAsia" w:ascii="Times New Roman" w:hAnsi="Times New Roman" w:eastAsia="仿宋_GB2312"/>
                <w:sz w:val="18"/>
                <w:szCs w:val="18"/>
              </w:rPr>
              <w:t>三同时</w:t>
            </w:r>
            <w:r>
              <w:rPr>
                <w:rFonts w:ascii="Times New Roman" w:hAnsi="Times New Roman" w:eastAsia="仿宋_GB2312"/>
                <w:sz w:val="18"/>
                <w:szCs w:val="18"/>
              </w:rPr>
              <w:t>”</w:t>
            </w:r>
          </w:p>
        </w:tc>
        <w:tc>
          <w:tcPr>
            <w:tcW w:w="325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对于新建、改建、扩建建设项目和技术改造、技术引进项目，建设单位要依法开展职业病危害预评价、职业病防护设施设计、职业病危害控制效果评价与防护设施验收等工作。</w:t>
            </w:r>
          </w:p>
        </w:tc>
        <w:tc>
          <w:tcPr>
            <w:tcW w:w="2071"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查阅近两年建设项目清单，查看评价报告、评审材料及工作过程书面报告等</w:t>
            </w:r>
          </w:p>
        </w:tc>
        <w:tc>
          <w:tcPr>
            <w:tcW w:w="1478" w:type="dxa"/>
            <w:gridSpan w:val="2"/>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按要求编制职业病危害预评价报告、防护设施设计、控制效果评价报告及验收，评审、工作过程报告等符合要求</w:t>
            </w:r>
          </w:p>
        </w:tc>
        <w:tc>
          <w:tcPr>
            <w:tcW w:w="1329"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未完全按要求开展职业病防护设施</w:t>
            </w:r>
            <w:r>
              <w:rPr>
                <w:rFonts w:ascii="Times New Roman" w:hAnsi="Times New Roman" w:eastAsia="仿宋_GB2312"/>
                <w:sz w:val="18"/>
                <w:szCs w:val="18"/>
              </w:rPr>
              <w:t>“</w:t>
            </w:r>
            <w:r>
              <w:rPr>
                <w:rFonts w:hint="eastAsia" w:ascii="Times New Roman" w:hAnsi="Times New Roman" w:eastAsia="仿宋_GB2312"/>
                <w:sz w:val="18"/>
                <w:szCs w:val="18"/>
              </w:rPr>
              <w:t>三同时</w:t>
            </w:r>
            <w:r>
              <w:rPr>
                <w:rFonts w:ascii="Times New Roman" w:hAnsi="Times New Roman" w:eastAsia="仿宋_GB2312"/>
                <w:sz w:val="18"/>
                <w:szCs w:val="18"/>
              </w:rPr>
              <w:t>”</w:t>
            </w:r>
            <w:r>
              <w:rPr>
                <w:rFonts w:hint="eastAsia" w:ascii="Times New Roman" w:hAnsi="Times New Roman" w:eastAsia="仿宋_GB2312"/>
                <w:sz w:val="18"/>
                <w:szCs w:val="18"/>
              </w:rPr>
              <w:t>工作；或评审、工作过程报告等基本符合要求</w:t>
            </w:r>
          </w:p>
        </w:tc>
        <w:tc>
          <w:tcPr>
            <w:tcW w:w="133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未按要求编制预评价报告、防护设施设计、控制效果评价报告及验收；或评审、工作过程报告等不符合要求</w:t>
            </w:r>
          </w:p>
        </w:tc>
        <w:tc>
          <w:tcPr>
            <w:tcW w:w="1038"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近两年不涉及建设项目</w:t>
            </w:r>
          </w:p>
        </w:tc>
        <w:tc>
          <w:tcPr>
            <w:tcW w:w="442"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20</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95" w:type="dxa"/>
            <w:vAlign w:val="center"/>
          </w:tcPr>
          <w:p>
            <w:pPr>
              <w:adjustRightInd w:val="0"/>
              <w:snapToGrid w:val="0"/>
              <w:jc w:val="center"/>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四、工作场所职业卫生条件</w:t>
            </w: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职业病危害因素浓度或强度</w:t>
            </w:r>
          </w:p>
        </w:tc>
        <w:tc>
          <w:tcPr>
            <w:tcW w:w="3252"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职业病危害因素强度或者浓度符合国家职业卫生标准和行业标准的要求。</w:t>
            </w:r>
          </w:p>
        </w:tc>
        <w:tc>
          <w:tcPr>
            <w:tcW w:w="2071"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查阅检测报告</w:t>
            </w:r>
            <w:r>
              <w:rPr>
                <w:rFonts w:ascii="Times New Roman" w:hAnsi="Times New Roman" w:eastAsia="仿宋_GB2312"/>
                <w:kern w:val="0"/>
                <w:sz w:val="18"/>
                <w:szCs w:val="18"/>
              </w:rPr>
              <w:t>(</w:t>
            </w:r>
            <w:r>
              <w:rPr>
                <w:rFonts w:hint="eastAsia" w:ascii="Times New Roman" w:hAnsi="Times New Roman" w:eastAsia="仿宋_GB2312"/>
                <w:kern w:val="0"/>
                <w:sz w:val="18"/>
                <w:szCs w:val="18"/>
              </w:rPr>
              <w:t>关注检测时工况与气象条件</w:t>
            </w:r>
            <w:r>
              <w:rPr>
                <w:rFonts w:ascii="Times New Roman" w:hAnsi="Times New Roman" w:eastAsia="仿宋_GB2312"/>
                <w:kern w:val="0"/>
                <w:sz w:val="18"/>
                <w:szCs w:val="18"/>
              </w:rPr>
              <w:t>)</w:t>
            </w:r>
            <w:r>
              <w:rPr>
                <w:rFonts w:hint="eastAsia" w:ascii="Times New Roman" w:hAnsi="Times New Roman" w:eastAsia="仿宋_GB2312"/>
                <w:kern w:val="0"/>
                <w:sz w:val="18"/>
                <w:szCs w:val="18"/>
              </w:rPr>
              <w:t>，重点检查矽尘、石棉粉尘、高毒物品和放射性物质浓度或强度达标情况</w:t>
            </w:r>
          </w:p>
        </w:tc>
        <w:tc>
          <w:tcPr>
            <w:tcW w:w="1478" w:type="dxa"/>
            <w:gridSpan w:val="2"/>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职业病危害因素全部达标</w:t>
            </w:r>
          </w:p>
        </w:tc>
        <w:tc>
          <w:tcPr>
            <w:tcW w:w="132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重点职业病危害因素全部达标；个别其他职业病危害因素存在超标情况</w:t>
            </w:r>
          </w:p>
        </w:tc>
        <w:tc>
          <w:tcPr>
            <w:tcW w:w="133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重点职业病危害因素超标；或者大部分其他因素存在超标</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vAlign w:val="center"/>
          </w:tcPr>
          <w:p>
            <w:pPr>
              <w:tabs>
                <w:tab w:val="left" w:pos="253"/>
              </w:tabs>
              <w:adjustRightInd w:val="0"/>
              <w:snapToGrid w:val="0"/>
              <w:rPr>
                <w:rFonts w:ascii="Times New Roman" w:hAnsi="Times New Roman" w:eastAsia="仿宋_GB2312"/>
                <w:sz w:val="18"/>
                <w:szCs w:val="18"/>
              </w:rPr>
            </w:pP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kern w:val="0"/>
                <w:sz w:val="18"/>
                <w:szCs w:val="18"/>
              </w:rPr>
            </w:pPr>
            <w:r>
              <w:rPr>
                <w:rFonts w:hint="eastAsia" w:ascii="Times New Roman" w:hAnsi="Times New Roman" w:eastAsia="仿宋_GB2312"/>
                <w:sz w:val="18"/>
                <w:szCs w:val="18"/>
              </w:rPr>
              <w:t>有害和无害作业分开；工作场所与生活场所分开</w:t>
            </w:r>
          </w:p>
        </w:tc>
        <w:tc>
          <w:tcPr>
            <w:tcW w:w="3252"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生产布局合理，符合有害与无害作业分开的原则。工作场所与生活场所分开，工作场所不得住人。</w:t>
            </w:r>
          </w:p>
        </w:tc>
        <w:tc>
          <w:tcPr>
            <w:tcW w:w="2071"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现场检查，主要检查接触矽尘、石棉粉尘、高毒物质岗位是否与其他岗位隔离，接触有毒有害岗位与无危害岗位是否分开布置；有毒物品和粉尘的发生源是否布置在操作岗位下风侧</w:t>
            </w:r>
          </w:p>
        </w:tc>
        <w:tc>
          <w:tcPr>
            <w:tcW w:w="1478" w:type="dxa"/>
            <w:gridSpan w:val="2"/>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有毒有害作业与无害作业分开布置，且工作场所与生活场所分开</w:t>
            </w:r>
          </w:p>
        </w:tc>
        <w:tc>
          <w:tcPr>
            <w:tcW w:w="1329"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33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有毒有害作业与无害作业未分开布置，或工作场所与生活场所未分开</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五、职业病危害因素检测、评价</w:t>
            </w: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定期检测</w:t>
            </w:r>
          </w:p>
        </w:tc>
        <w:tc>
          <w:tcPr>
            <w:tcW w:w="3252"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职业病危害严重的用人单位，应当委托具有相应资质的职业卫生技术服务机构，每年至少进行一次职业病危害因素检测。</w:t>
            </w:r>
          </w:p>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职业病危害一般的用人单位，应当委托具有相应资质的职业卫生技术服务机构，每三年至少进行一次职业病危害因素检测。</w:t>
            </w:r>
          </w:p>
        </w:tc>
        <w:tc>
          <w:tcPr>
            <w:tcW w:w="2071"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查阅年度职业病危害因素检测报告，核对是否覆盖所有产生职业病危害因素的工作场所和所有职业病危害因素</w:t>
            </w:r>
          </w:p>
        </w:tc>
        <w:tc>
          <w:tcPr>
            <w:tcW w:w="1478" w:type="dxa"/>
            <w:gridSpan w:val="2"/>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按要求开展定期检测，且检测点覆盖所有产生职业病危害的场所，检测因素全面</w:t>
            </w:r>
          </w:p>
        </w:tc>
        <w:tc>
          <w:tcPr>
            <w:tcW w:w="1329"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33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未进行定期检测；或检测点未覆盖所有产生职业病危害的场所；或检测因素不全面</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vAlign w:val="center"/>
          </w:tcPr>
          <w:p>
            <w:pPr>
              <w:tabs>
                <w:tab w:val="left" w:pos="253"/>
              </w:tabs>
              <w:adjustRightInd w:val="0"/>
              <w:snapToGrid w:val="0"/>
              <w:rPr>
                <w:rFonts w:ascii="Times New Roman" w:hAnsi="Times New Roman" w:eastAsia="仿宋_GB2312"/>
                <w:sz w:val="18"/>
                <w:szCs w:val="18"/>
              </w:rPr>
            </w:pP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现状评价</w:t>
            </w:r>
          </w:p>
        </w:tc>
        <w:tc>
          <w:tcPr>
            <w:tcW w:w="3252" w:type="dxa"/>
            <w:vAlign w:val="center"/>
          </w:tcPr>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职业病危害严重的用人单位，委托具有相应资质的职业卫生技术服务机构，每三年至少进行一次职业病危害现状评价。</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发生职业病危害事故应及时委托具有相应资质的职业卫生技术服务机构进行职业病危害现状评价。</w:t>
            </w:r>
          </w:p>
        </w:tc>
        <w:tc>
          <w:tcPr>
            <w:tcW w:w="2071"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重点检查职业病危害严重且未开展过职业卫生</w:t>
            </w:r>
            <w:r>
              <w:rPr>
                <w:rFonts w:ascii="Times New Roman" w:hAnsi="Times New Roman" w:eastAsia="仿宋_GB2312"/>
                <w:kern w:val="0"/>
                <w:sz w:val="18"/>
                <w:szCs w:val="18"/>
              </w:rPr>
              <w:t>“</w:t>
            </w:r>
            <w:r>
              <w:rPr>
                <w:rFonts w:hint="eastAsia" w:ascii="Times New Roman" w:hAnsi="Times New Roman" w:eastAsia="仿宋_GB2312"/>
                <w:kern w:val="0"/>
                <w:sz w:val="18"/>
                <w:szCs w:val="18"/>
              </w:rPr>
              <w:t>三同时</w:t>
            </w:r>
            <w:r>
              <w:rPr>
                <w:rFonts w:ascii="Times New Roman" w:hAnsi="Times New Roman" w:eastAsia="仿宋_GB2312"/>
                <w:kern w:val="0"/>
                <w:sz w:val="18"/>
                <w:szCs w:val="18"/>
              </w:rPr>
              <w:t>”</w:t>
            </w:r>
            <w:r>
              <w:rPr>
                <w:rFonts w:hint="eastAsia" w:ascii="Times New Roman" w:hAnsi="Times New Roman" w:eastAsia="仿宋_GB2312"/>
                <w:kern w:val="0"/>
                <w:sz w:val="18"/>
                <w:szCs w:val="18"/>
              </w:rPr>
              <w:t>的用人单位，按照《工作场所职业卫生管理规定》开展现状评价；</w:t>
            </w:r>
            <w:r>
              <w:rPr>
                <w:rFonts w:hint="eastAsia" w:ascii="Times New Roman" w:hAnsi="Times New Roman" w:eastAsia="仿宋_GB2312"/>
                <w:sz w:val="18"/>
                <w:szCs w:val="18"/>
              </w:rPr>
              <w:t>查看发生职业病危害事故的情况以及是否按要求开展职业病危害现状评价</w:t>
            </w:r>
          </w:p>
        </w:tc>
        <w:tc>
          <w:tcPr>
            <w:tcW w:w="1478" w:type="dxa"/>
            <w:gridSpan w:val="2"/>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按要求开展职业病危害现状评价</w:t>
            </w:r>
          </w:p>
        </w:tc>
        <w:tc>
          <w:tcPr>
            <w:tcW w:w="1329"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33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未按要求开展职业病危害现状评价</w:t>
            </w:r>
          </w:p>
        </w:tc>
        <w:tc>
          <w:tcPr>
            <w:tcW w:w="1038"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不属于职业病危害严重的用人单位且未发生职业病危害事故</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vAlign w:val="center"/>
          </w:tcPr>
          <w:p>
            <w:pPr>
              <w:tabs>
                <w:tab w:val="left" w:pos="253"/>
              </w:tabs>
              <w:adjustRightInd w:val="0"/>
              <w:snapToGrid w:val="0"/>
              <w:rPr>
                <w:rFonts w:ascii="Times New Roman" w:hAnsi="Times New Roman" w:eastAsia="仿宋_GB2312"/>
                <w:sz w:val="18"/>
                <w:szCs w:val="18"/>
              </w:rPr>
            </w:pP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治理措施</w:t>
            </w:r>
          </w:p>
        </w:tc>
        <w:tc>
          <w:tcPr>
            <w:tcW w:w="3252"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在定期检测、现状评价过程中，发现工作场所职业病危害因素不符合国家职业卫生标准和卫生要求时，应当立即采取相应治理措施，确保其符合职业卫生环境和条件的要求。</w:t>
            </w:r>
          </w:p>
        </w:tc>
        <w:tc>
          <w:tcPr>
            <w:tcW w:w="2071"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查阅</w:t>
            </w:r>
            <w:r>
              <w:rPr>
                <w:rFonts w:hint="eastAsia" w:ascii="Times New Roman" w:hAnsi="Times New Roman" w:eastAsia="仿宋_GB2312"/>
                <w:kern w:val="0"/>
                <w:sz w:val="18"/>
                <w:szCs w:val="18"/>
              </w:rPr>
              <w:t>定期检测、现状评价中职业病危害因素超标场所及整改情况</w:t>
            </w:r>
          </w:p>
        </w:tc>
        <w:tc>
          <w:tcPr>
            <w:tcW w:w="1478" w:type="dxa"/>
            <w:gridSpan w:val="2"/>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已按要求采取相应治理措施，治理效果良好，</w:t>
            </w:r>
            <w:r>
              <w:rPr>
                <w:rFonts w:hint="eastAsia" w:ascii="Times New Roman" w:hAnsi="Times New Roman" w:eastAsia="仿宋_GB2312"/>
                <w:kern w:val="0"/>
                <w:sz w:val="18"/>
                <w:szCs w:val="18"/>
              </w:rPr>
              <w:t>职业病危害因素强度或者浓度符合国家职业卫生标准和行业标准的要求</w:t>
            </w:r>
          </w:p>
        </w:tc>
        <w:tc>
          <w:tcPr>
            <w:tcW w:w="1329"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33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未按要求采取相应治理措施；或治理效果差，职业病危害因素</w:t>
            </w:r>
            <w:r>
              <w:rPr>
                <w:rFonts w:hint="eastAsia" w:ascii="Times New Roman" w:hAnsi="Times New Roman" w:eastAsia="仿宋_GB2312"/>
                <w:kern w:val="0"/>
                <w:sz w:val="18"/>
                <w:szCs w:val="18"/>
              </w:rPr>
              <w:t>强度或者浓度未</w:t>
            </w:r>
            <w:r>
              <w:rPr>
                <w:rFonts w:hint="eastAsia" w:ascii="Times New Roman" w:hAnsi="Times New Roman" w:eastAsia="仿宋_GB2312"/>
                <w:sz w:val="18"/>
                <w:szCs w:val="18"/>
              </w:rPr>
              <w:t>得到有效控制</w:t>
            </w:r>
          </w:p>
        </w:tc>
        <w:tc>
          <w:tcPr>
            <w:tcW w:w="1038"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定期检测、现状评价均不涉及不符合项</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六、职业病防护设施和个人防护用品</w:t>
            </w: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防护设施配备</w:t>
            </w:r>
          </w:p>
        </w:tc>
        <w:tc>
          <w:tcPr>
            <w:tcW w:w="3252"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职业病防护设施配备齐全、有效。</w:t>
            </w:r>
          </w:p>
        </w:tc>
        <w:tc>
          <w:tcPr>
            <w:tcW w:w="2071"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重点检查矽尘、石棉粉尘、高毒或放射性工作场所的防护设施配备情况，是否正常运行</w:t>
            </w:r>
          </w:p>
        </w:tc>
        <w:tc>
          <w:tcPr>
            <w:tcW w:w="1478" w:type="dxa"/>
            <w:gridSpan w:val="2"/>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职业病防护设施配备齐全，且正常运行</w:t>
            </w:r>
          </w:p>
        </w:tc>
        <w:tc>
          <w:tcPr>
            <w:tcW w:w="132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职业病防护设施配备基本齐全，基本正常运行</w:t>
            </w:r>
          </w:p>
        </w:tc>
        <w:tc>
          <w:tcPr>
            <w:tcW w:w="133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职业病防护设施配备不全；或无法正常运行</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vAlign w:val="center"/>
          </w:tcPr>
          <w:p>
            <w:pPr>
              <w:tabs>
                <w:tab w:val="left" w:pos="253"/>
              </w:tabs>
              <w:adjustRightInd w:val="0"/>
              <w:snapToGrid w:val="0"/>
              <w:rPr>
                <w:rFonts w:ascii="Times New Roman" w:hAnsi="Times New Roman" w:eastAsia="仿宋_GB2312"/>
                <w:sz w:val="18"/>
                <w:szCs w:val="18"/>
              </w:rPr>
            </w:pP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防护用品配备</w:t>
            </w:r>
          </w:p>
        </w:tc>
        <w:tc>
          <w:tcPr>
            <w:tcW w:w="3252"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应根据工作场所的职业病危害因素的种类、危害程度、对人体的影响途径以及现场生产条件、职业病危害因素的接触水平以及个人的生理和健康状况等特点，为劳动者配备适宜的符合国家或行业标准的个人职业病防护用品。</w:t>
            </w:r>
          </w:p>
        </w:tc>
        <w:tc>
          <w:tcPr>
            <w:tcW w:w="2071"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查阅防护用品的采购合同和计划，查阅发放登记账目、个人职业病防护用品领取记录，现场检查防护用品维护、更换情况</w:t>
            </w:r>
          </w:p>
        </w:tc>
        <w:tc>
          <w:tcPr>
            <w:tcW w:w="1478" w:type="dxa"/>
            <w:gridSpan w:val="2"/>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为劳动者个人提供的职业病防护用品符合防治职业病要求，且按要求对防护用品进行维护、更换等</w:t>
            </w:r>
          </w:p>
        </w:tc>
        <w:tc>
          <w:tcPr>
            <w:tcW w:w="132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个人防护用品配备不全；或个别防护用品进行维护、更换不及时</w:t>
            </w:r>
          </w:p>
        </w:tc>
        <w:tc>
          <w:tcPr>
            <w:tcW w:w="133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未配备个人防护用品；或配备的防护用品未及时维护、更换等</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七、生产技术、工艺、设备和材料</w:t>
            </w: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明令禁止的设备和材料</w:t>
            </w:r>
          </w:p>
        </w:tc>
        <w:tc>
          <w:tcPr>
            <w:tcW w:w="3252"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不得生产、经营、进口、使用国家明令禁止使用的可能产生职业病危害的设备和材料。</w:t>
            </w:r>
          </w:p>
        </w:tc>
        <w:tc>
          <w:tcPr>
            <w:tcW w:w="2071"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查阅最新国家产业政策文件</w:t>
            </w:r>
            <w:r>
              <w:rPr>
                <w:rFonts w:ascii="Times New Roman" w:hAnsi="Times New Roman" w:eastAsia="仿宋_GB2312"/>
                <w:kern w:val="0"/>
                <w:sz w:val="18"/>
                <w:szCs w:val="18"/>
              </w:rPr>
              <w:t>(</w:t>
            </w:r>
            <w:r>
              <w:rPr>
                <w:rFonts w:hint="eastAsia" w:ascii="Times New Roman" w:hAnsi="Times New Roman" w:eastAsia="仿宋_GB2312"/>
                <w:kern w:val="0"/>
                <w:sz w:val="18"/>
                <w:szCs w:val="18"/>
              </w:rPr>
              <w:t>国家发改委公布的《产业结构调整指导目录》和工信部相关行业准入条件</w:t>
            </w:r>
            <w:r>
              <w:rPr>
                <w:rFonts w:ascii="Times New Roman" w:hAnsi="Times New Roman" w:eastAsia="仿宋_GB2312"/>
                <w:kern w:val="0"/>
                <w:sz w:val="18"/>
                <w:szCs w:val="18"/>
              </w:rPr>
              <w:t>)</w:t>
            </w:r>
          </w:p>
        </w:tc>
        <w:tc>
          <w:tcPr>
            <w:tcW w:w="1478" w:type="dxa"/>
            <w:gridSpan w:val="2"/>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未生产、经营、进口和使用国家明令禁止使用的可能产生职业病危害的设备或者材料</w:t>
            </w:r>
          </w:p>
        </w:tc>
        <w:tc>
          <w:tcPr>
            <w:tcW w:w="1329"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33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生产、经营、进口和使用国家明令禁止使用的可能产生职业病危害的设备或者材料</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vAlign w:val="center"/>
          </w:tcPr>
          <w:p>
            <w:pPr>
              <w:tabs>
                <w:tab w:val="left" w:pos="253"/>
              </w:tabs>
              <w:adjustRightInd w:val="0"/>
              <w:snapToGrid w:val="0"/>
              <w:rPr>
                <w:rFonts w:ascii="Times New Roman" w:hAnsi="Times New Roman" w:eastAsia="仿宋_GB2312"/>
                <w:sz w:val="18"/>
                <w:szCs w:val="18"/>
              </w:rPr>
            </w:pP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职业病危害作业转移</w:t>
            </w:r>
          </w:p>
        </w:tc>
        <w:tc>
          <w:tcPr>
            <w:tcW w:w="3252" w:type="dxa"/>
            <w:vAlign w:val="center"/>
          </w:tcPr>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不得将产生职业病危害的作业转移给不具备职业病防护条件的单位和个人。</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不具备职业病危害防护条件的单位和个人不得接受产生职业病危害的作业。</w:t>
            </w:r>
          </w:p>
        </w:tc>
        <w:tc>
          <w:tcPr>
            <w:tcW w:w="2071"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针对生产工艺流程外包环节和岗位，查阅承包职业卫生协议书、职业病危害告知及应当采取防护措施等内容，对外包作业现场检查</w:t>
            </w:r>
          </w:p>
        </w:tc>
        <w:tc>
          <w:tcPr>
            <w:tcW w:w="1478" w:type="dxa"/>
            <w:gridSpan w:val="2"/>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与外包单位签订有职业卫生协议，并监督外包单位落实职业病防护措施</w:t>
            </w:r>
          </w:p>
        </w:tc>
        <w:tc>
          <w:tcPr>
            <w:tcW w:w="1329"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33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与外包</w:t>
            </w:r>
            <w:r>
              <w:rPr>
                <w:rFonts w:ascii="Times New Roman" w:hAnsi="Times New Roman" w:eastAsia="仿宋_GB2312"/>
                <w:kern w:val="0"/>
                <w:sz w:val="18"/>
                <w:szCs w:val="18"/>
              </w:rPr>
              <w:t>(</w:t>
            </w:r>
            <w:r>
              <w:rPr>
                <w:rFonts w:hint="eastAsia" w:ascii="Times New Roman" w:hAnsi="Times New Roman" w:eastAsia="仿宋_GB2312"/>
                <w:kern w:val="0"/>
                <w:sz w:val="18"/>
                <w:szCs w:val="18"/>
              </w:rPr>
              <w:t>外协</w:t>
            </w:r>
            <w:r>
              <w:rPr>
                <w:rFonts w:ascii="Times New Roman" w:hAnsi="Times New Roman" w:eastAsia="仿宋_GB2312"/>
                <w:kern w:val="0"/>
                <w:sz w:val="18"/>
                <w:szCs w:val="18"/>
              </w:rPr>
              <w:t>)</w:t>
            </w:r>
            <w:r>
              <w:rPr>
                <w:rFonts w:hint="eastAsia" w:ascii="Times New Roman" w:hAnsi="Times New Roman" w:eastAsia="仿宋_GB2312"/>
                <w:kern w:val="0"/>
                <w:sz w:val="18"/>
                <w:szCs w:val="18"/>
              </w:rPr>
              <w:t>单位无相关职业健康协议；未督促外包单位落实职业病防护措施</w:t>
            </w:r>
          </w:p>
        </w:tc>
        <w:tc>
          <w:tcPr>
            <w:tcW w:w="1038"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w:t>
            </w:r>
            <w:r>
              <w:rPr>
                <w:rFonts w:hint="eastAsia" w:ascii="Times New Roman" w:hAnsi="Times New Roman" w:eastAsia="仿宋_GB2312"/>
                <w:sz w:val="18"/>
                <w:szCs w:val="18"/>
              </w:rPr>
              <w:t>产生职业病危害的</w:t>
            </w:r>
            <w:r>
              <w:rPr>
                <w:rFonts w:hint="eastAsia" w:ascii="Times New Roman" w:hAnsi="Times New Roman" w:eastAsia="仿宋_GB2312"/>
                <w:kern w:val="0"/>
                <w:sz w:val="18"/>
                <w:szCs w:val="18"/>
              </w:rPr>
              <w:t>外包作业</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八、职业病危害告知</w:t>
            </w: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合同告知</w:t>
            </w:r>
          </w:p>
        </w:tc>
        <w:tc>
          <w:tcPr>
            <w:tcW w:w="3252"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与劳动者订立或变更劳动合同时，将工作过程中可能产生的职业病危害及其后果、职业病防护措施和待遇等如实告知劳动者，并在职业病危害附加合同告知书中写明，不得隐瞒或者欺骗。</w:t>
            </w:r>
          </w:p>
        </w:tc>
        <w:tc>
          <w:tcPr>
            <w:tcW w:w="2071"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抽查劳动合同是否有相关条款进行告知，或有无补充合同或专项合同</w:t>
            </w:r>
          </w:p>
        </w:tc>
        <w:tc>
          <w:tcPr>
            <w:tcW w:w="1478" w:type="dxa"/>
            <w:gridSpan w:val="2"/>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按要求进行职业病危害告知，告知内容包括岗位接触的职业病危害及其后果、防护措施等</w:t>
            </w:r>
          </w:p>
        </w:tc>
        <w:tc>
          <w:tcPr>
            <w:tcW w:w="1329" w:type="dxa"/>
            <w:vAlign w:val="center"/>
          </w:tcPr>
          <w:p>
            <w:pPr>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133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未按要求进行职业病危害告知，或告知内容与实际不符</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vAlign w:val="center"/>
          </w:tcPr>
          <w:p>
            <w:pPr>
              <w:tabs>
                <w:tab w:val="left" w:pos="253"/>
              </w:tabs>
              <w:adjustRightInd w:val="0"/>
              <w:snapToGrid w:val="0"/>
              <w:rPr>
                <w:rFonts w:ascii="Times New Roman" w:hAnsi="Times New Roman" w:eastAsia="仿宋_GB2312"/>
                <w:sz w:val="18"/>
                <w:szCs w:val="18"/>
              </w:rPr>
            </w:pP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公告栏、警示标识和告知卡</w:t>
            </w:r>
          </w:p>
        </w:tc>
        <w:tc>
          <w:tcPr>
            <w:tcW w:w="3252" w:type="dxa"/>
            <w:vAlign w:val="center"/>
          </w:tcPr>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在醒目位置设置公告栏，公布有关职业病防治的规章制度、操作规程、职业病危害事故应急救援措施。</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存在或者产生职业病危害的工作场所、作业岗位、设备、设施，按照《工作场所职业病危害警示标识》</w:t>
            </w:r>
            <w:r>
              <w:rPr>
                <w:rFonts w:ascii="Times New Roman" w:hAnsi="Times New Roman" w:eastAsia="仿宋_GB2312"/>
                <w:kern w:val="0"/>
                <w:sz w:val="18"/>
                <w:szCs w:val="18"/>
              </w:rPr>
              <w:t>(GBZ158)</w:t>
            </w:r>
            <w:r>
              <w:rPr>
                <w:rFonts w:hint="eastAsia" w:ascii="Times New Roman" w:hAnsi="Times New Roman" w:eastAsia="仿宋_GB2312"/>
                <w:kern w:val="0"/>
                <w:sz w:val="18"/>
                <w:szCs w:val="18"/>
              </w:rPr>
              <w:t>的规定，在醒目位置设置图形、警示线、警示语句等警示标识和中文警示说明。</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(3)</w:t>
            </w:r>
            <w:r>
              <w:rPr>
                <w:rFonts w:hint="eastAsia" w:ascii="Times New Roman" w:hAnsi="Times New Roman" w:eastAsia="仿宋_GB2312"/>
                <w:kern w:val="0"/>
                <w:sz w:val="18"/>
                <w:szCs w:val="18"/>
              </w:rPr>
              <w:t>产生严重职业病危害的作业岗位，应在醒目位置设置职业病危害告知卡。</w:t>
            </w:r>
          </w:p>
        </w:tc>
        <w:tc>
          <w:tcPr>
            <w:tcW w:w="2071"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现场检查核实公告栏；现场重点检查存在矽尘、石棉粉尘、高毒和放射性物质的岗位警示标识和告知卡设置情况</w:t>
            </w:r>
          </w:p>
        </w:tc>
        <w:tc>
          <w:tcPr>
            <w:tcW w:w="1478" w:type="dxa"/>
            <w:gridSpan w:val="2"/>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设置有公告栏，且内容齐全；现场按要求规范设置警示标识和告知卡</w:t>
            </w:r>
          </w:p>
        </w:tc>
        <w:tc>
          <w:tcPr>
            <w:tcW w:w="1329"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设置有公告栏，但内容不规范；或现场设置有警示标识和告知卡，但不规范</w:t>
            </w:r>
          </w:p>
        </w:tc>
        <w:tc>
          <w:tcPr>
            <w:tcW w:w="1332" w:type="dxa"/>
            <w:vAlign w:val="center"/>
          </w:tcPr>
          <w:p>
            <w:pPr>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未设置公告栏；或现场未按要求设置警示标识、告知卡</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九、职业卫生宣传教育培训</w:t>
            </w: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主要负责人和职业卫生管理人员培训</w:t>
            </w:r>
          </w:p>
        </w:tc>
        <w:tc>
          <w:tcPr>
            <w:tcW w:w="3252"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主要负责人和职业卫生管理人员应当具备与本单位所从事的生产经营活动相适应的职业卫生知识和管理能力，并接受职业卫生培训。</w:t>
            </w:r>
          </w:p>
        </w:tc>
        <w:tc>
          <w:tcPr>
            <w:tcW w:w="2071"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查看培训证书或相关培训证明材料</w:t>
            </w:r>
          </w:p>
        </w:tc>
        <w:tc>
          <w:tcPr>
            <w:tcW w:w="1478" w:type="dxa"/>
            <w:gridSpan w:val="2"/>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主要负责人和职业卫生管理人员均有培训证明材料</w:t>
            </w:r>
          </w:p>
        </w:tc>
        <w:tc>
          <w:tcPr>
            <w:tcW w:w="1329"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33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主要负责人或职业卫生管理人员无培训证明材料</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vAlign w:val="center"/>
          </w:tcPr>
          <w:p>
            <w:pPr>
              <w:tabs>
                <w:tab w:val="left" w:pos="253"/>
              </w:tabs>
              <w:adjustRightInd w:val="0"/>
              <w:snapToGrid w:val="0"/>
              <w:rPr>
                <w:rFonts w:ascii="Times New Roman" w:hAnsi="Times New Roman" w:eastAsia="仿宋_GB2312"/>
                <w:sz w:val="18"/>
                <w:szCs w:val="18"/>
              </w:rPr>
            </w:pP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劳动者培训</w:t>
            </w:r>
          </w:p>
        </w:tc>
        <w:tc>
          <w:tcPr>
            <w:tcW w:w="3252" w:type="dxa"/>
            <w:vAlign w:val="center"/>
          </w:tcPr>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对劳动者进行上岗前和在岗期间定期的职业卫生培训。</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对存在矽尘、石棉粉尘、高毒物品以及放射性危害等职业病危害严重岗位的劳动者，进行专门的职业卫生培训，经培训合格后方可上岗作业。</w:t>
            </w:r>
          </w:p>
        </w:tc>
        <w:tc>
          <w:tcPr>
            <w:tcW w:w="2071"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查阅培训教材、资料、记录和试卷</w:t>
            </w:r>
          </w:p>
        </w:tc>
        <w:tc>
          <w:tcPr>
            <w:tcW w:w="1478" w:type="dxa"/>
            <w:gridSpan w:val="2"/>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按照规定对上岗前、在岗期间的劳动者进行职业卫生培训</w:t>
            </w:r>
          </w:p>
        </w:tc>
        <w:tc>
          <w:tcPr>
            <w:tcW w:w="1329"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33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未按照规定对上岗前、在岗期间的劳动者进行职业卫生培训</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restart"/>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十、职业健康监护</w:t>
            </w: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职业健康检查</w:t>
            </w:r>
          </w:p>
        </w:tc>
        <w:tc>
          <w:tcPr>
            <w:tcW w:w="3252"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按照规定组织上岗前、在岗期间、离岗时的职业健康检查。</w:t>
            </w:r>
          </w:p>
        </w:tc>
        <w:tc>
          <w:tcPr>
            <w:tcW w:w="2071"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查阅职业健康检查报告</w:t>
            </w:r>
          </w:p>
        </w:tc>
        <w:tc>
          <w:tcPr>
            <w:tcW w:w="1478" w:type="dxa"/>
            <w:gridSpan w:val="2"/>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按要求组织劳动者进行职业健康检查，且体检项目齐全</w:t>
            </w:r>
          </w:p>
        </w:tc>
        <w:tc>
          <w:tcPr>
            <w:tcW w:w="1329"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33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未按要求组织劳动者进行职业健康检查；或体检因素与接触的职业病危害因素不匹配</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Merge w:val="continue"/>
            <w:vAlign w:val="center"/>
          </w:tcPr>
          <w:p>
            <w:pPr>
              <w:tabs>
                <w:tab w:val="left" w:pos="253"/>
              </w:tabs>
              <w:adjustRightInd w:val="0"/>
              <w:snapToGrid w:val="0"/>
              <w:rPr>
                <w:rFonts w:ascii="Times New Roman" w:hAnsi="Times New Roman" w:eastAsia="仿宋_GB2312"/>
                <w:sz w:val="18"/>
                <w:szCs w:val="18"/>
              </w:rPr>
            </w:pP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体检结果处置和告知</w:t>
            </w:r>
          </w:p>
        </w:tc>
        <w:tc>
          <w:tcPr>
            <w:tcW w:w="3252" w:type="dxa"/>
            <w:vAlign w:val="center"/>
          </w:tcPr>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不得安排有职业禁忌的劳动者从事其所禁忌的作业。对需要复查的劳动者，按照职业健康检查机构要求的时间安排复查和医学观察。应及时安排对疑似职业病病人进行诊断。</w:t>
            </w:r>
          </w:p>
          <w:p>
            <w:pPr>
              <w:widowControl/>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及时将职业健康检查结果及职业健康检查机构的建议以书面形式如实告知劳动者。</w:t>
            </w:r>
          </w:p>
        </w:tc>
        <w:tc>
          <w:tcPr>
            <w:tcW w:w="2071"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查阅体检报告，核对</w:t>
            </w:r>
            <w:r>
              <w:rPr>
                <w:rFonts w:hint="eastAsia" w:ascii="Times New Roman" w:hAnsi="Times New Roman" w:eastAsia="仿宋_GB2312"/>
                <w:sz w:val="18"/>
                <w:szCs w:val="18"/>
              </w:rPr>
              <w:t>职业禁忌劳动者的调岗情况、需复查劳动者复查情况、疑似职业病病人的诊断情况、</w:t>
            </w:r>
            <w:r>
              <w:rPr>
                <w:rFonts w:hint="eastAsia" w:ascii="Times New Roman" w:hAnsi="Times New Roman" w:eastAsia="仿宋_GB2312"/>
                <w:kern w:val="0"/>
                <w:sz w:val="18"/>
                <w:szCs w:val="18"/>
              </w:rPr>
              <w:t>劳动者职业健康检查结果书面告知情况</w:t>
            </w:r>
          </w:p>
        </w:tc>
        <w:tc>
          <w:tcPr>
            <w:tcW w:w="1478" w:type="dxa"/>
            <w:gridSpan w:val="2"/>
            <w:vAlign w:val="center"/>
          </w:tcPr>
          <w:p>
            <w:pPr>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按要求将职业禁忌人员调离禁忌岗位，复查对象已按要求复查，疑似职业病已按要求进行诊断；不涉及禁忌、复查对象、疑似职业病的视同为符合</w:t>
            </w:r>
          </w:p>
          <w:p>
            <w:pPr>
              <w:adjustRightInd w:val="0"/>
              <w:snapToGrid w:val="0"/>
              <w:rPr>
                <w:rFonts w:ascii="Times New Roman" w:hAnsi="Times New Roman" w:eastAsia="仿宋_GB2312"/>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按要求将职业健康检查结果书面告知劳动者</w:t>
            </w:r>
          </w:p>
        </w:tc>
        <w:tc>
          <w:tcPr>
            <w:tcW w:w="1329"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sz w:val="18"/>
                <w:szCs w:val="18"/>
              </w:rPr>
              <w:t>-</w:t>
            </w:r>
          </w:p>
        </w:tc>
        <w:tc>
          <w:tcPr>
            <w:tcW w:w="1332" w:type="dxa"/>
            <w:vAlign w:val="center"/>
          </w:tcPr>
          <w:p>
            <w:pPr>
              <w:adjustRightInd w:val="0"/>
              <w:snapToGrid w:val="0"/>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未按要求对禁忌人员进行调岗，或未按要求对复查对象进行复查，或未按要求对疑似职业病进行诊断</w:t>
            </w:r>
          </w:p>
          <w:p>
            <w:pPr>
              <w:adjustRightInd w:val="0"/>
              <w:snapToGrid w:val="0"/>
              <w:rPr>
                <w:rFonts w:ascii="Times New Roman" w:hAnsi="Times New Roman" w:eastAsia="仿宋_GB2312"/>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未按要求将职业健康检查结果书面告知劳动者</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Segoe UI Symbol" w:hAnsi="Segoe UI Symbol" w:eastAsia="仿宋_GB2312" w:cs="Segoe UI Symbol"/>
                <w:kern w:val="0"/>
                <w:sz w:val="18"/>
                <w:szCs w:val="18"/>
              </w:rPr>
              <w:t>★</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Align w:val="center"/>
          </w:tcPr>
          <w:p>
            <w:pPr>
              <w:tabs>
                <w:tab w:val="left" w:pos="253"/>
              </w:tabs>
              <w:adjustRightInd w:val="0"/>
              <w:snapToGrid w:val="0"/>
              <w:rPr>
                <w:rFonts w:ascii="Times New Roman" w:hAnsi="Times New Roman" w:eastAsia="仿宋_GB2312"/>
                <w:sz w:val="18"/>
                <w:szCs w:val="18"/>
              </w:rPr>
            </w:pPr>
            <w:r>
              <w:rPr>
                <w:rFonts w:hint="eastAsia" w:ascii="Times New Roman" w:hAnsi="Times New Roman" w:eastAsia="仿宋_GB2312"/>
                <w:kern w:val="0"/>
                <w:sz w:val="18"/>
                <w:szCs w:val="18"/>
              </w:rPr>
              <w:t>十一、应急救援</w:t>
            </w: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应急救援预案与演练</w:t>
            </w:r>
          </w:p>
        </w:tc>
        <w:tc>
          <w:tcPr>
            <w:tcW w:w="3252" w:type="dxa"/>
            <w:vAlign w:val="center"/>
          </w:tcPr>
          <w:p>
            <w:pPr>
              <w:widowControl/>
              <w:adjustRightInd w:val="0"/>
              <w:snapToGrid w:val="0"/>
              <w:rPr>
                <w:rFonts w:ascii="Times New Roman" w:hAnsi="Times New Roman" w:eastAsia="仿宋_GB2312"/>
                <w:sz w:val="18"/>
                <w:szCs w:val="18"/>
              </w:rPr>
            </w:pPr>
            <w:r>
              <w:rPr>
                <w:rFonts w:ascii="Times New Roman" w:hAnsi="Times New Roman" w:eastAsia="仿宋_GB2312"/>
                <w:sz w:val="18"/>
                <w:szCs w:val="18"/>
              </w:rPr>
              <w:t>(1)</w:t>
            </w:r>
            <w:r>
              <w:rPr>
                <w:rFonts w:hint="eastAsia" w:ascii="Times New Roman" w:hAnsi="Times New Roman" w:eastAsia="仿宋_GB2312"/>
                <w:sz w:val="18"/>
                <w:szCs w:val="18"/>
              </w:rPr>
              <w:t>建立健全急性职业病危害事故应急救援预案，并定期演练。</w:t>
            </w:r>
          </w:p>
          <w:p>
            <w:pPr>
              <w:widowControl/>
              <w:adjustRightInd w:val="0"/>
              <w:snapToGrid w:val="0"/>
              <w:rPr>
                <w:rFonts w:ascii="Times New Roman" w:hAnsi="Times New Roman" w:eastAsia="仿宋_GB2312"/>
                <w:sz w:val="18"/>
                <w:szCs w:val="18"/>
                <w:highlight w:val="yellow"/>
              </w:rPr>
            </w:pPr>
            <w:r>
              <w:rPr>
                <w:rFonts w:ascii="Times New Roman" w:hAnsi="Times New Roman" w:eastAsia="仿宋_GB2312"/>
                <w:sz w:val="18"/>
                <w:szCs w:val="18"/>
              </w:rPr>
              <w:t>(2)</w:t>
            </w:r>
            <w:r>
              <w:rPr>
                <w:rFonts w:hint="eastAsia" w:ascii="Times New Roman" w:hAnsi="Times New Roman" w:eastAsia="仿宋_GB2312"/>
                <w:sz w:val="18"/>
                <w:szCs w:val="18"/>
              </w:rPr>
              <w:t>可能发生急性职业损伤的有毒、有害工作场所，应当设置报警装置，配置现场急救用品、冲洗设备、应急撤离通道和必要的泄险区；建立应急救援设施台账，定期对应急救援设施进行维护，确保正常使用。</w:t>
            </w:r>
          </w:p>
        </w:tc>
        <w:tc>
          <w:tcPr>
            <w:tcW w:w="2071" w:type="dxa"/>
            <w:vAlign w:val="center"/>
          </w:tcPr>
          <w:p>
            <w:pPr>
              <w:adjustRightInd w:val="0"/>
              <w:snapToGrid w:val="0"/>
              <w:rPr>
                <w:rFonts w:ascii="Times New Roman" w:hAnsi="Times New Roman" w:eastAsia="仿宋_GB2312"/>
                <w:sz w:val="18"/>
                <w:szCs w:val="18"/>
              </w:rPr>
            </w:pPr>
            <w:r>
              <w:rPr>
                <w:rFonts w:ascii="Times New Roman" w:hAnsi="Times New Roman" w:eastAsia="仿宋_GB2312"/>
                <w:sz w:val="18"/>
                <w:szCs w:val="18"/>
              </w:rPr>
              <w:t>(1)</w:t>
            </w:r>
            <w:r>
              <w:rPr>
                <w:rFonts w:hint="eastAsia" w:ascii="Times New Roman" w:hAnsi="Times New Roman" w:eastAsia="仿宋_GB2312"/>
                <w:sz w:val="18"/>
                <w:szCs w:val="18"/>
              </w:rPr>
              <w:t>查阅应急救援预案，预案应明确责任人、组织机构、事故发生后的疏通线路、技术方案、救援设施的维护和启动、救护方案等；查阅演练记录</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sz w:val="18"/>
                <w:szCs w:val="18"/>
              </w:rPr>
              <w:t>现场随机抽查报警装置，现场急救用品、冲洗设备、应急撤离通道和必要的泄险区的设置和运行情况</w:t>
            </w:r>
          </w:p>
        </w:tc>
        <w:tc>
          <w:tcPr>
            <w:tcW w:w="1478" w:type="dxa"/>
            <w:gridSpan w:val="2"/>
            <w:vAlign w:val="center"/>
          </w:tcPr>
          <w:p>
            <w:pPr>
              <w:adjustRightInd w:val="0"/>
              <w:snapToGrid w:val="0"/>
              <w:rPr>
                <w:rFonts w:ascii="Times New Roman" w:hAnsi="Times New Roman" w:eastAsia="仿宋_GB2312"/>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建立有急性职业病危害事故应急救援预案，预案内容全面，具有可操作性；</w:t>
            </w:r>
            <w:r>
              <w:rPr>
                <w:rFonts w:hint="eastAsia" w:ascii="Times New Roman" w:hAnsi="Times New Roman" w:eastAsia="仿宋_GB2312"/>
                <w:sz w:val="18"/>
                <w:szCs w:val="18"/>
              </w:rPr>
              <w:t>定期进行应急救援预案演练，且有演练记录，记录内含改进建议</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kern w:val="0"/>
                <w:sz w:val="18"/>
                <w:szCs w:val="18"/>
              </w:rPr>
              <w:t>应急设施设置齐全，设置位置等符合要求，且定期进行维护，正常运行</w:t>
            </w:r>
          </w:p>
        </w:tc>
        <w:tc>
          <w:tcPr>
            <w:tcW w:w="1329" w:type="dxa"/>
            <w:vAlign w:val="center"/>
          </w:tcPr>
          <w:p>
            <w:pPr>
              <w:adjustRightInd w:val="0"/>
              <w:snapToGrid w:val="0"/>
              <w:rPr>
                <w:rFonts w:ascii="Times New Roman" w:hAnsi="Times New Roman" w:eastAsia="仿宋_GB2312"/>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建立有急性职业病危害事故应急救援预案，</w:t>
            </w:r>
            <w:r>
              <w:rPr>
                <w:rFonts w:hint="eastAsia" w:ascii="Times New Roman" w:hAnsi="Times New Roman" w:eastAsia="仿宋_GB2312"/>
                <w:sz w:val="18"/>
                <w:szCs w:val="18"/>
              </w:rPr>
              <w:t>预案内容较全面，具有一定的可操作性；定期进行应急救援预案演练，但演练记录内容不完整，缺少改进建议等</w:t>
            </w:r>
          </w:p>
          <w:p>
            <w:pPr>
              <w:adjustRightInd w:val="0"/>
              <w:snapToGrid w:val="0"/>
              <w:rPr>
                <w:rFonts w:ascii="Times New Roman" w:hAnsi="Times New Roman" w:eastAsia="仿宋_GB2312"/>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配备有应急设施，但种类不全或个别设施维护不到位</w:t>
            </w:r>
          </w:p>
        </w:tc>
        <w:tc>
          <w:tcPr>
            <w:tcW w:w="1332" w:type="dxa"/>
            <w:vAlign w:val="center"/>
          </w:tcPr>
          <w:p>
            <w:pPr>
              <w:adjustRightInd w:val="0"/>
              <w:snapToGrid w:val="0"/>
              <w:rPr>
                <w:rFonts w:ascii="Times New Roman" w:hAnsi="Times New Roman" w:eastAsia="仿宋_GB2312"/>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未建立急性职业病危害事故应急救援预案</w:t>
            </w:r>
            <w:r>
              <w:rPr>
                <w:rFonts w:hint="eastAsia" w:ascii="Times New Roman" w:hAnsi="Times New Roman" w:eastAsia="仿宋_GB2312"/>
                <w:sz w:val="18"/>
                <w:szCs w:val="18"/>
              </w:rPr>
              <w:t>或不具有可操作性；或未进行应急救援预案演练</w:t>
            </w:r>
          </w:p>
          <w:p>
            <w:pPr>
              <w:adjustRightInd w:val="0"/>
              <w:snapToGrid w:val="0"/>
              <w:rPr>
                <w:rFonts w:ascii="Times New Roman" w:hAnsi="Times New Roman" w:eastAsia="仿宋_GB2312"/>
                <w:sz w:val="18"/>
                <w:szCs w:val="18"/>
              </w:rPr>
            </w:pPr>
            <w:r>
              <w:rPr>
                <w:rFonts w:ascii="Times New Roman" w:hAnsi="Times New Roman" w:eastAsia="仿宋_GB2312"/>
                <w:sz w:val="18"/>
                <w:szCs w:val="18"/>
              </w:rPr>
              <w:t>(2)</w:t>
            </w:r>
            <w:r>
              <w:rPr>
                <w:rFonts w:hint="eastAsia" w:ascii="Times New Roman" w:hAnsi="Times New Roman" w:eastAsia="仿宋_GB2312"/>
                <w:kern w:val="0"/>
                <w:sz w:val="18"/>
                <w:szCs w:val="18"/>
              </w:rPr>
              <w:t>未配备应急设施；或未定期进行维护，不能正常运行</w:t>
            </w:r>
          </w:p>
        </w:tc>
        <w:tc>
          <w:tcPr>
            <w:tcW w:w="1038"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kern w:val="0"/>
                <w:sz w:val="18"/>
                <w:szCs w:val="18"/>
              </w:rPr>
              <w:t>不涉及急性职业病危害事故</w:t>
            </w:r>
          </w:p>
        </w:tc>
        <w:tc>
          <w:tcPr>
            <w:tcW w:w="442"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□基本符合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□合理缺项</w:t>
            </w:r>
          </w:p>
        </w:tc>
        <w:tc>
          <w:tcPr>
            <w:tcW w:w="395" w:type="dxa"/>
            <w:vAlign w:val="center"/>
          </w:tcPr>
          <w:p>
            <w:pPr>
              <w:widowControl/>
              <w:adjustRightInd w:val="0"/>
              <w:snapToGrid w:val="0"/>
              <w:jc w:val="center"/>
              <w:rPr>
                <w:rFonts w:ascii="Times New Roman" w:hAnsi="Times New Roman" w:eastAsia="仿宋_GB2312"/>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674" w:type="dxa"/>
            <w:vAlign w:val="center"/>
          </w:tcPr>
          <w:p>
            <w:pPr>
              <w:widowControl/>
              <w:adjustRightInd w:val="0"/>
              <w:snapToGrid w:val="0"/>
              <w:rPr>
                <w:rFonts w:ascii="Times New Roman" w:hAnsi="Times New Roman" w:eastAsia="仿宋_GB2312"/>
                <w:kern w:val="0"/>
                <w:sz w:val="18"/>
                <w:szCs w:val="18"/>
              </w:rPr>
            </w:pPr>
            <w:r>
              <w:rPr>
                <w:rFonts w:hint="eastAsia" w:ascii="Times New Roman" w:hAnsi="Times New Roman" w:eastAsia="仿宋_GB2312"/>
                <w:sz w:val="18"/>
                <w:szCs w:val="18"/>
              </w:rPr>
              <w:t>十二、职业病人和行政处罚情况</w:t>
            </w:r>
          </w:p>
        </w:tc>
        <w:tc>
          <w:tcPr>
            <w:tcW w:w="946" w:type="dxa"/>
            <w:vAlign w:val="center"/>
          </w:tcPr>
          <w:p>
            <w:pPr>
              <w:numPr>
                <w:ilvl w:val="0"/>
                <w:numId w:val="2"/>
              </w:numPr>
              <w:tabs>
                <w:tab w:val="left" w:pos="320"/>
              </w:tabs>
              <w:adjustRightInd w:val="0"/>
              <w:snapToGrid w:val="0"/>
              <w:ind w:left="0" w:firstLine="0"/>
              <w:rPr>
                <w:rFonts w:ascii="Times New Roman" w:hAnsi="Times New Roman" w:eastAsia="仿宋_GB2312"/>
                <w:sz w:val="18"/>
                <w:szCs w:val="18"/>
              </w:rPr>
            </w:pPr>
            <w:r>
              <w:rPr>
                <w:rFonts w:hint="eastAsia" w:ascii="Times New Roman" w:hAnsi="Times New Roman" w:eastAsia="仿宋_GB2312"/>
                <w:sz w:val="18"/>
                <w:szCs w:val="18"/>
              </w:rPr>
              <w:t>发生职业病病例或行政处罚</w:t>
            </w:r>
          </w:p>
        </w:tc>
        <w:tc>
          <w:tcPr>
            <w:tcW w:w="325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近三年内发生</w:t>
            </w:r>
            <w:r>
              <w:rPr>
                <w:rFonts w:ascii="Times New Roman" w:hAnsi="Times New Roman" w:eastAsia="仿宋_GB2312"/>
                <w:sz w:val="18"/>
                <w:szCs w:val="18"/>
              </w:rPr>
              <w:t>3</w:t>
            </w:r>
            <w:r>
              <w:rPr>
                <w:rFonts w:hint="eastAsia" w:ascii="Times New Roman" w:hAnsi="Times New Roman" w:eastAsia="仿宋_GB2312"/>
                <w:sz w:val="18"/>
                <w:szCs w:val="18"/>
              </w:rPr>
              <w:t>人以上职业病，发生急性职业病。且工作场所相关职业病危害因素不符合职业卫生标准和要求。年度内监督检查意见落实情况，年度内职业健康方面停止作业、罚款等行政处罚情况。</w:t>
            </w:r>
          </w:p>
        </w:tc>
        <w:tc>
          <w:tcPr>
            <w:tcW w:w="2071"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查阅职业病报告表；查阅相关执法文书以及监督检查意见落实情况</w:t>
            </w:r>
          </w:p>
        </w:tc>
        <w:tc>
          <w:tcPr>
            <w:tcW w:w="1478" w:type="dxa"/>
            <w:gridSpan w:val="2"/>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三年内未发生</w:t>
            </w:r>
            <w:r>
              <w:rPr>
                <w:rFonts w:ascii="Times New Roman" w:hAnsi="Times New Roman" w:eastAsia="仿宋_GB2312"/>
                <w:sz w:val="18"/>
                <w:szCs w:val="18"/>
              </w:rPr>
              <w:t>3</w:t>
            </w:r>
            <w:r>
              <w:rPr>
                <w:rFonts w:hint="eastAsia" w:ascii="Times New Roman" w:hAnsi="Times New Roman" w:eastAsia="仿宋_GB2312"/>
                <w:sz w:val="18"/>
                <w:szCs w:val="18"/>
              </w:rPr>
              <w:t>人及以上职业病病例，且三年内未发生急性职业病；年度内监督检查意见已全部落实；且上年度内职业健康方面无停止作业、罚款等行政处罚</w:t>
            </w:r>
          </w:p>
        </w:tc>
        <w:tc>
          <w:tcPr>
            <w:tcW w:w="1329" w:type="dxa"/>
            <w:vAlign w:val="center"/>
          </w:tcPr>
          <w:p>
            <w:pPr>
              <w:adjustRightInd w:val="0"/>
              <w:snapToGrid w:val="0"/>
              <w:jc w:val="center"/>
              <w:rPr>
                <w:rFonts w:ascii="Times New Roman" w:hAnsi="Times New Roman" w:eastAsia="仿宋_GB2312"/>
                <w:sz w:val="18"/>
                <w:szCs w:val="18"/>
              </w:rPr>
            </w:pPr>
            <w:r>
              <w:rPr>
                <w:rFonts w:ascii="Times New Roman" w:hAnsi="Times New Roman" w:eastAsia="仿宋_GB2312"/>
                <w:kern w:val="0"/>
                <w:sz w:val="18"/>
                <w:szCs w:val="18"/>
              </w:rPr>
              <w:t>-</w:t>
            </w:r>
          </w:p>
        </w:tc>
        <w:tc>
          <w:tcPr>
            <w:tcW w:w="1332" w:type="dxa"/>
            <w:vAlign w:val="center"/>
          </w:tcPr>
          <w:p>
            <w:pPr>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三年内发生</w:t>
            </w:r>
            <w:r>
              <w:rPr>
                <w:rFonts w:ascii="Times New Roman" w:hAnsi="Times New Roman" w:eastAsia="仿宋_GB2312"/>
                <w:sz w:val="18"/>
                <w:szCs w:val="18"/>
              </w:rPr>
              <w:t>3</w:t>
            </w:r>
            <w:r>
              <w:rPr>
                <w:rFonts w:hint="eastAsia" w:ascii="Times New Roman" w:hAnsi="Times New Roman" w:eastAsia="仿宋_GB2312"/>
                <w:sz w:val="18"/>
                <w:szCs w:val="18"/>
              </w:rPr>
              <w:t>人以上职业病病例或三年内发生急性职业病且工作场所相关职业病危害因素不符合职业卫生标准和要求；年度内监督检查意见未落实；或上年度内职业卫生方面受到停止作业、罚款等行政处罚</w:t>
            </w:r>
          </w:p>
        </w:tc>
        <w:tc>
          <w:tcPr>
            <w:tcW w:w="1038" w:type="dxa"/>
            <w:vAlign w:val="center"/>
          </w:tcPr>
          <w:p>
            <w:pPr>
              <w:widowControl/>
              <w:adjustRightInd w:val="0"/>
              <w:snapToGrid w:val="0"/>
              <w:jc w:val="center"/>
              <w:rPr>
                <w:rFonts w:ascii="Times New Roman" w:hAnsi="Times New Roman" w:eastAsia="仿宋_GB2312"/>
                <w:kern w:val="0"/>
                <w:sz w:val="18"/>
                <w:szCs w:val="18"/>
              </w:rPr>
            </w:pPr>
            <w:r>
              <w:rPr>
                <w:rFonts w:ascii="Times New Roman" w:hAnsi="Times New Roman" w:eastAsia="仿宋_GB2312"/>
                <w:kern w:val="0"/>
                <w:sz w:val="18"/>
                <w:szCs w:val="18"/>
              </w:rPr>
              <w:t>-</w:t>
            </w:r>
          </w:p>
        </w:tc>
        <w:tc>
          <w:tcPr>
            <w:tcW w:w="442" w:type="dxa"/>
            <w:vAlign w:val="center"/>
          </w:tcPr>
          <w:p>
            <w:pPr>
              <w:widowControl/>
              <w:adjustRightInd w:val="0"/>
              <w:snapToGrid w:val="0"/>
              <w:jc w:val="center"/>
              <w:rPr>
                <w:rFonts w:ascii="Times New Roman" w:hAnsi="Times New Roman" w:eastAsia="仿宋_GB2312"/>
                <w:sz w:val="18"/>
                <w:szCs w:val="18"/>
              </w:rPr>
            </w:pPr>
            <w:r>
              <w:rPr>
                <w:rFonts w:ascii="Segoe UI Symbol" w:hAnsi="Segoe UI Symbol" w:eastAsia="仿宋_GB2312" w:cs="Segoe UI Symbol"/>
                <w:kern w:val="0"/>
                <w:sz w:val="18"/>
                <w:szCs w:val="18"/>
              </w:rPr>
              <w:t>★</w:t>
            </w:r>
          </w:p>
        </w:tc>
        <w:tc>
          <w:tcPr>
            <w:tcW w:w="1035" w:type="dxa"/>
            <w:vAlign w:val="center"/>
          </w:tcPr>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□符合</w:t>
            </w:r>
          </w:p>
          <w:p>
            <w:pPr>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□不符合</w:t>
            </w:r>
          </w:p>
        </w:tc>
        <w:tc>
          <w:tcPr>
            <w:tcW w:w="395" w:type="dxa"/>
            <w:vAlign w:val="center"/>
          </w:tcPr>
          <w:p>
            <w:pPr>
              <w:widowControl/>
              <w:adjustRightInd w:val="0"/>
              <w:snapToGrid w:val="0"/>
              <w:jc w:val="center"/>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13992" w:type="dxa"/>
            <w:gridSpan w:val="12"/>
            <w:vAlign w:val="center"/>
          </w:tcPr>
          <w:p>
            <w:pPr>
              <w:widowControl/>
              <w:adjustRightInd w:val="0"/>
              <w:snapToGrid w:val="0"/>
              <w:jc w:val="left"/>
              <w:rPr>
                <w:rFonts w:ascii="仿宋_GB2312" w:hAnsi="Times New Roman" w:eastAsia="仿宋_GB2312"/>
                <w:kern w:val="0"/>
                <w:sz w:val="18"/>
                <w:szCs w:val="18"/>
              </w:rPr>
            </w:pPr>
            <w:r>
              <w:rPr>
                <w:rFonts w:hint="eastAsia" w:ascii="仿宋_GB2312" w:hAnsi="Times New Roman" w:eastAsia="仿宋_GB2312"/>
                <w:b/>
                <w:bCs/>
                <w:kern w:val="0"/>
                <w:sz w:val="18"/>
                <w:szCs w:val="18"/>
              </w:rPr>
              <w:t>合理缺项后满分分值</w:t>
            </w:r>
            <w:r>
              <w:rPr>
                <w:rFonts w:ascii="仿宋_GB2312" w:hAnsi="Times New Roman" w:eastAsia="仿宋_GB2312"/>
                <w:b/>
                <w:bCs/>
                <w:kern w:val="0"/>
                <w:sz w:val="18"/>
                <w:szCs w:val="18"/>
              </w:rPr>
              <w:t xml:space="preserve">:                   </w:t>
            </w:r>
            <w:r>
              <w:rPr>
                <w:rFonts w:hint="eastAsia" w:ascii="仿宋_GB2312" w:hAnsi="Times New Roman" w:eastAsia="仿宋_GB2312"/>
                <w:b/>
                <w:bCs/>
                <w:kern w:val="0"/>
                <w:sz w:val="18"/>
                <w:szCs w:val="18"/>
              </w:rPr>
              <w:t>合理缺项后实际得分：</w:t>
            </w:r>
            <w:r>
              <w:rPr>
                <w:rFonts w:ascii="仿宋_GB2312" w:hAnsi="Times New Roman" w:eastAsia="仿宋_GB2312"/>
                <w:b/>
                <w:bCs/>
                <w:kern w:val="0"/>
                <w:sz w:val="18"/>
                <w:szCs w:val="18"/>
              </w:rPr>
              <w:t xml:space="preserve">              </w:t>
            </w:r>
            <w:r>
              <w:rPr>
                <w:rFonts w:hint="eastAsia" w:ascii="仿宋_GB2312" w:hAnsi="Times New Roman" w:eastAsia="仿宋_GB2312"/>
                <w:b/>
                <w:bCs/>
                <w:kern w:val="0"/>
                <w:sz w:val="18"/>
                <w:szCs w:val="18"/>
              </w:rPr>
              <w:t>最终得分（标化得分</w:t>
            </w:r>
            <w:r>
              <w:rPr>
                <w:rFonts w:ascii="仿宋_GB2312" w:hAnsi="Times New Roman" w:eastAsia="仿宋_GB2312"/>
                <w:b/>
                <w:bCs/>
                <w:kern w:val="0"/>
                <w:sz w:val="18"/>
                <w:szCs w:val="18"/>
              </w:rPr>
              <w:t>=</w:t>
            </w:r>
            <w:r>
              <w:rPr>
                <w:rFonts w:hint="eastAsia" w:ascii="仿宋_GB2312" w:hAnsi="Times New Roman" w:eastAsia="仿宋_GB2312"/>
                <w:b/>
                <w:bCs/>
                <w:kern w:val="0"/>
                <w:sz w:val="18"/>
                <w:szCs w:val="18"/>
              </w:rPr>
              <w:t>实际得分</w:t>
            </w:r>
            <w:r>
              <w:rPr>
                <w:rFonts w:ascii="仿宋_GB2312" w:hAnsi="Times New Roman" w:eastAsia="仿宋_GB2312"/>
                <w:b/>
                <w:bCs/>
                <w:kern w:val="0"/>
                <w:sz w:val="18"/>
                <w:szCs w:val="18"/>
              </w:rPr>
              <w:t>/</w:t>
            </w:r>
            <w:r>
              <w:rPr>
                <w:rFonts w:hint="eastAsia" w:ascii="仿宋_GB2312" w:hAnsi="Times New Roman" w:eastAsia="仿宋_GB2312"/>
                <w:b/>
                <w:bCs/>
                <w:kern w:val="0"/>
                <w:sz w:val="18"/>
                <w:szCs w:val="18"/>
              </w:rPr>
              <w:t>满分分值×</w:t>
            </w:r>
            <w:r>
              <w:rPr>
                <w:rFonts w:ascii="仿宋_GB2312" w:hAnsi="Times New Roman" w:eastAsia="仿宋_GB2312"/>
                <w:b/>
                <w:bCs/>
                <w:kern w:val="0"/>
                <w:sz w:val="18"/>
                <w:szCs w:val="18"/>
              </w:rPr>
              <w:t>100</w:t>
            </w:r>
            <w:r>
              <w:rPr>
                <w:rFonts w:hint="eastAsia" w:ascii="仿宋_GB2312" w:hAnsi="Times New Roman" w:eastAsia="仿宋_GB2312"/>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3992" w:type="dxa"/>
            <w:gridSpan w:val="12"/>
            <w:vAlign w:val="center"/>
          </w:tcPr>
          <w:p>
            <w:pPr>
              <w:widowControl/>
              <w:adjustRightInd w:val="0"/>
              <w:snapToGrid w:val="0"/>
              <w:jc w:val="center"/>
              <w:rPr>
                <w:rFonts w:ascii="仿宋_GB2312" w:hAnsi="Times New Roman" w:eastAsia="仿宋_GB2312"/>
                <w:b/>
                <w:bCs/>
                <w:kern w:val="0"/>
                <w:sz w:val="18"/>
                <w:szCs w:val="18"/>
              </w:rPr>
            </w:pPr>
            <w:r>
              <w:rPr>
                <w:rFonts w:hint="eastAsia" w:ascii="仿宋_GB2312" w:hAnsi="Times New Roman" w:eastAsia="仿宋_GB2312"/>
                <w:b/>
                <w:bCs/>
                <w:kern w:val="0"/>
                <w:sz w:val="24"/>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vAlign w:val="center"/>
          </w:tcPr>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项目</w:t>
            </w:r>
          </w:p>
          <w:p>
            <w:pPr>
              <w:widowControl/>
              <w:adjustRightInd w:val="0"/>
              <w:snapToGrid w:val="0"/>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（编号和项目名）</w:t>
            </w:r>
          </w:p>
        </w:tc>
        <w:tc>
          <w:tcPr>
            <w:tcW w:w="12372" w:type="dxa"/>
            <w:gridSpan w:val="10"/>
            <w:vAlign w:val="center"/>
          </w:tcPr>
          <w:p>
            <w:pPr>
              <w:widowControl/>
              <w:adjustRightInd w:val="0"/>
              <w:snapToGrid w:val="0"/>
              <w:jc w:val="center"/>
              <w:rPr>
                <w:rFonts w:ascii="仿宋_GB2312" w:hAnsi="Times New Roman" w:eastAsia="仿宋_GB2312"/>
                <w:b/>
                <w:bCs/>
                <w:kern w:val="0"/>
                <w:sz w:val="18"/>
                <w:szCs w:val="18"/>
              </w:rPr>
            </w:pPr>
            <w:r>
              <w:rPr>
                <w:rFonts w:hint="eastAsia" w:ascii="仿宋_GB2312" w:hAnsi="Times New Roman" w:eastAsia="仿宋_GB2312"/>
                <w:b/>
                <w:bCs/>
                <w:kern w:val="0"/>
                <w:sz w:val="18"/>
                <w:szCs w:val="18"/>
              </w:rPr>
              <w:t>合理缺项情况说明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vAlign w:val="center"/>
          </w:tcPr>
          <w:p>
            <w:pPr>
              <w:widowControl/>
              <w:adjustRightInd w:val="0"/>
              <w:snapToGrid w:val="0"/>
              <w:jc w:val="center"/>
              <w:rPr>
                <w:rFonts w:ascii="Times New Roman" w:hAnsi="Times New Roman" w:eastAsia="仿宋_GB2312"/>
                <w:b/>
                <w:bCs/>
                <w:kern w:val="0"/>
                <w:sz w:val="18"/>
                <w:szCs w:val="18"/>
              </w:rPr>
            </w:pPr>
          </w:p>
        </w:tc>
        <w:tc>
          <w:tcPr>
            <w:tcW w:w="12372" w:type="dxa"/>
            <w:gridSpan w:val="10"/>
            <w:vAlign w:val="center"/>
          </w:tcPr>
          <w:p>
            <w:pPr>
              <w:widowControl/>
              <w:adjustRightInd w:val="0"/>
              <w:snapToGrid w:val="0"/>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vAlign w:val="center"/>
          </w:tcPr>
          <w:p>
            <w:pPr>
              <w:widowControl/>
              <w:adjustRightInd w:val="0"/>
              <w:snapToGrid w:val="0"/>
              <w:jc w:val="center"/>
              <w:rPr>
                <w:rFonts w:ascii="Times New Roman" w:hAnsi="Times New Roman" w:eastAsia="仿宋_GB2312"/>
                <w:b/>
                <w:bCs/>
                <w:kern w:val="0"/>
                <w:sz w:val="18"/>
                <w:szCs w:val="18"/>
              </w:rPr>
            </w:pPr>
          </w:p>
        </w:tc>
        <w:tc>
          <w:tcPr>
            <w:tcW w:w="12372" w:type="dxa"/>
            <w:gridSpan w:val="10"/>
            <w:vAlign w:val="center"/>
          </w:tcPr>
          <w:p>
            <w:pPr>
              <w:widowControl/>
              <w:adjustRightInd w:val="0"/>
              <w:snapToGrid w:val="0"/>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vAlign w:val="center"/>
          </w:tcPr>
          <w:p>
            <w:pPr>
              <w:widowControl/>
              <w:adjustRightInd w:val="0"/>
              <w:snapToGrid w:val="0"/>
              <w:jc w:val="center"/>
              <w:rPr>
                <w:rFonts w:ascii="Times New Roman" w:hAnsi="Times New Roman" w:eastAsia="仿宋_GB2312"/>
                <w:b/>
                <w:bCs/>
                <w:kern w:val="0"/>
                <w:sz w:val="18"/>
                <w:szCs w:val="18"/>
              </w:rPr>
            </w:pPr>
          </w:p>
        </w:tc>
        <w:tc>
          <w:tcPr>
            <w:tcW w:w="12372" w:type="dxa"/>
            <w:gridSpan w:val="10"/>
            <w:vAlign w:val="center"/>
          </w:tcPr>
          <w:p>
            <w:pPr>
              <w:widowControl/>
              <w:adjustRightInd w:val="0"/>
              <w:snapToGrid w:val="0"/>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0" w:type="dxa"/>
            <w:gridSpan w:val="2"/>
            <w:vAlign w:val="center"/>
          </w:tcPr>
          <w:p>
            <w:pPr>
              <w:widowControl/>
              <w:adjustRightInd w:val="0"/>
              <w:snapToGrid w:val="0"/>
              <w:jc w:val="center"/>
              <w:rPr>
                <w:rFonts w:ascii="Times New Roman" w:hAnsi="Times New Roman" w:eastAsia="仿宋_GB2312"/>
                <w:b/>
                <w:bCs/>
                <w:kern w:val="0"/>
                <w:sz w:val="18"/>
                <w:szCs w:val="18"/>
              </w:rPr>
            </w:pPr>
          </w:p>
        </w:tc>
        <w:tc>
          <w:tcPr>
            <w:tcW w:w="12372" w:type="dxa"/>
            <w:gridSpan w:val="10"/>
            <w:vAlign w:val="center"/>
          </w:tcPr>
          <w:p>
            <w:pPr>
              <w:widowControl/>
              <w:adjustRightInd w:val="0"/>
              <w:snapToGrid w:val="0"/>
              <w:rPr>
                <w:rFonts w:ascii="仿宋_GB2312" w:hAnsi="Times New Roman" w:eastAsia="仿宋_GB2312"/>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trPr>
        <w:tc>
          <w:tcPr>
            <w:tcW w:w="7086" w:type="dxa"/>
            <w:gridSpan w:val="5"/>
          </w:tcPr>
          <w:p>
            <w:pPr>
              <w:tabs>
                <w:tab w:val="left" w:pos="5670"/>
              </w:tabs>
              <w:adjustRightInd w:val="0"/>
              <w:snapToGrid w:val="0"/>
              <w:rPr>
                <w:rFonts w:ascii="Times New Roman" w:hAnsi="Times New Roman" w:eastAsia="仿宋_GB2312"/>
                <w:sz w:val="18"/>
                <w:szCs w:val="18"/>
              </w:rPr>
            </w:pPr>
            <w:r>
              <w:rPr>
                <w:rFonts w:hint="eastAsia" w:ascii="Times New Roman" w:hAnsi="Times New Roman" w:eastAsia="仿宋_GB2312"/>
                <w:sz w:val="18"/>
                <w:szCs w:val="18"/>
              </w:rPr>
              <w:t>自查人员签字：</w:t>
            </w:r>
          </w:p>
          <w:p>
            <w:pPr>
              <w:tabs>
                <w:tab w:val="left" w:pos="5670"/>
              </w:tabs>
              <w:adjustRightInd w:val="0"/>
              <w:snapToGrid w:val="0"/>
              <w:rPr>
                <w:rFonts w:ascii="Times New Roman" w:hAnsi="Times New Roman" w:eastAsia="仿宋_GB2312"/>
                <w:sz w:val="18"/>
                <w:szCs w:val="18"/>
              </w:rPr>
            </w:pPr>
          </w:p>
          <w:p>
            <w:pPr>
              <w:tabs>
                <w:tab w:val="left" w:pos="5670"/>
              </w:tabs>
              <w:adjustRightInd w:val="0"/>
              <w:snapToGrid w:val="0"/>
              <w:rPr>
                <w:rFonts w:ascii="Times New Roman" w:hAnsi="Times New Roman" w:eastAsia="仿宋_GB2312"/>
                <w:sz w:val="18"/>
                <w:szCs w:val="18"/>
              </w:rPr>
            </w:pPr>
          </w:p>
          <w:p>
            <w:pPr>
              <w:tabs>
                <w:tab w:val="left" w:pos="5670"/>
              </w:tabs>
              <w:adjustRightInd w:val="0"/>
              <w:snapToGrid w:val="0"/>
              <w:jc w:val="right"/>
              <w:rPr>
                <w:rFonts w:ascii="Times New Roman" w:hAnsi="Times New Roman" w:eastAsia="仿宋_GB2312"/>
                <w:sz w:val="18"/>
                <w:szCs w:val="18"/>
              </w:rPr>
            </w:pPr>
            <w:r>
              <w:rPr>
                <w:rFonts w:hint="eastAsia" w:ascii="Times New Roman" w:hAnsi="Times New Roman" w:eastAsia="仿宋_GB2312"/>
                <w:sz w:val="18"/>
                <w:szCs w:val="18"/>
              </w:rPr>
              <w:t>日期：</w:t>
            </w:r>
            <w:r>
              <w:rPr>
                <w:rFonts w:ascii="Times New Roman" w:hAnsi="Times New Roman" w:eastAsia="仿宋_GB2312"/>
                <w:sz w:val="18"/>
                <w:szCs w:val="18"/>
              </w:rPr>
              <w:t xml:space="preserve">   </w:t>
            </w:r>
            <w:r>
              <w:rPr>
                <w:rFonts w:hint="eastAsia" w:ascii="Times New Roman" w:hAnsi="Times New Roman" w:eastAsia="仿宋_GB2312"/>
                <w:sz w:val="18"/>
                <w:szCs w:val="18"/>
              </w:rPr>
              <w:t>年</w:t>
            </w:r>
            <w:r>
              <w:rPr>
                <w:rFonts w:ascii="Times New Roman" w:hAnsi="Times New Roman" w:eastAsia="仿宋_GB2312"/>
                <w:sz w:val="18"/>
                <w:szCs w:val="18"/>
              </w:rPr>
              <w:t xml:space="preserve">   </w:t>
            </w:r>
            <w:r>
              <w:rPr>
                <w:rFonts w:hint="eastAsia" w:ascii="Times New Roman" w:hAnsi="Times New Roman" w:eastAsia="仿宋_GB2312"/>
                <w:sz w:val="18"/>
                <w:szCs w:val="18"/>
              </w:rPr>
              <w:t>月</w:t>
            </w:r>
            <w:r>
              <w:rPr>
                <w:rFonts w:ascii="Times New Roman" w:hAnsi="Times New Roman" w:eastAsia="仿宋_GB2312"/>
                <w:sz w:val="18"/>
                <w:szCs w:val="18"/>
              </w:rPr>
              <w:t xml:space="preserve">   </w:t>
            </w:r>
            <w:r>
              <w:rPr>
                <w:rFonts w:hint="eastAsia" w:ascii="Times New Roman" w:hAnsi="Times New Roman" w:eastAsia="仿宋_GB2312"/>
                <w:sz w:val="18"/>
                <w:szCs w:val="18"/>
              </w:rPr>
              <w:t>日</w:t>
            </w:r>
          </w:p>
        </w:tc>
        <w:tc>
          <w:tcPr>
            <w:tcW w:w="6906" w:type="dxa"/>
            <w:gridSpan w:val="7"/>
            <w:vAlign w:val="center"/>
          </w:tcPr>
          <w:p>
            <w:pPr>
              <w:tabs>
                <w:tab w:val="left" w:pos="5670"/>
              </w:tabs>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法定代表人或主要负责人签字：</w:t>
            </w:r>
          </w:p>
          <w:p>
            <w:pPr>
              <w:tabs>
                <w:tab w:val="left" w:pos="5670"/>
              </w:tabs>
              <w:adjustRightInd w:val="0"/>
              <w:snapToGrid w:val="0"/>
              <w:jc w:val="left"/>
              <w:rPr>
                <w:rFonts w:ascii="仿宋_GB2312" w:hAnsi="Times New Roman" w:eastAsia="仿宋_GB2312"/>
                <w:sz w:val="18"/>
                <w:szCs w:val="18"/>
              </w:rPr>
            </w:pPr>
          </w:p>
          <w:p>
            <w:pPr>
              <w:tabs>
                <w:tab w:val="left" w:pos="5670"/>
              </w:tabs>
              <w:adjustRightInd w:val="0"/>
              <w:snapToGrid w:val="0"/>
              <w:jc w:val="left"/>
              <w:rPr>
                <w:rFonts w:ascii="仿宋_GB2312" w:hAnsi="Times New Roman" w:eastAsia="仿宋_GB2312"/>
                <w:sz w:val="18"/>
                <w:szCs w:val="18"/>
              </w:rPr>
            </w:pPr>
          </w:p>
          <w:p>
            <w:pPr>
              <w:tabs>
                <w:tab w:val="left" w:pos="5670"/>
              </w:tabs>
              <w:adjustRightInd w:val="0"/>
              <w:snapToGrid w:val="0"/>
              <w:jc w:val="right"/>
              <w:rPr>
                <w:rFonts w:ascii="仿宋_GB2312" w:hAnsi="Times New Roman" w:eastAsia="仿宋_GB2312"/>
                <w:sz w:val="18"/>
                <w:szCs w:val="18"/>
              </w:rPr>
            </w:pPr>
            <w:r>
              <w:rPr>
                <w:rFonts w:hint="eastAsia" w:ascii="仿宋_GB2312" w:hAnsi="Times New Roman" w:eastAsia="仿宋_GB2312"/>
                <w:sz w:val="18"/>
                <w:szCs w:val="18"/>
              </w:rPr>
              <w:t>日期：</w:t>
            </w:r>
            <w:r>
              <w:rPr>
                <w:rFonts w:ascii="仿宋_GB2312" w:hAnsi="Times New Roman" w:eastAsia="仿宋_GB2312"/>
                <w:sz w:val="18"/>
                <w:szCs w:val="18"/>
              </w:rPr>
              <w:t xml:space="preserve">   </w:t>
            </w:r>
            <w:r>
              <w:rPr>
                <w:rFonts w:hint="eastAsia" w:ascii="仿宋_GB2312" w:hAnsi="Times New Roman" w:eastAsia="仿宋_GB2312"/>
                <w:sz w:val="18"/>
                <w:szCs w:val="18"/>
              </w:rPr>
              <w:t>年</w:t>
            </w:r>
            <w:r>
              <w:rPr>
                <w:rFonts w:ascii="仿宋_GB2312" w:hAnsi="Times New Roman" w:eastAsia="仿宋_GB2312"/>
                <w:sz w:val="18"/>
                <w:szCs w:val="18"/>
              </w:rPr>
              <w:t xml:space="preserve">   </w:t>
            </w:r>
            <w:r>
              <w:rPr>
                <w:rFonts w:hint="eastAsia" w:ascii="仿宋_GB2312" w:hAnsi="Times New Roman" w:eastAsia="仿宋_GB2312"/>
                <w:sz w:val="18"/>
                <w:szCs w:val="18"/>
              </w:rPr>
              <w:t>月</w:t>
            </w:r>
            <w:r>
              <w:rPr>
                <w:rFonts w:ascii="仿宋_GB2312" w:hAnsi="Times New Roman" w:eastAsia="仿宋_GB2312"/>
                <w:sz w:val="18"/>
                <w:szCs w:val="18"/>
              </w:rPr>
              <w:t xml:space="preserve">   </w:t>
            </w:r>
            <w:r>
              <w:rPr>
                <w:rFonts w:hint="eastAsia" w:ascii="仿宋_GB2312" w:hAnsi="Times New Roman" w:eastAsia="仿宋_GB2312"/>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trPr>
        <w:tc>
          <w:tcPr>
            <w:tcW w:w="13992" w:type="dxa"/>
            <w:gridSpan w:val="12"/>
          </w:tcPr>
          <w:p>
            <w:pPr>
              <w:tabs>
                <w:tab w:val="left" w:pos="5670"/>
              </w:tabs>
              <w:adjustRightInd w:val="0"/>
              <w:snapToGrid w:val="0"/>
              <w:jc w:val="left"/>
              <w:rPr>
                <w:rFonts w:ascii="仿宋_GB2312" w:hAnsi="Times New Roman" w:eastAsia="仿宋_GB2312"/>
                <w:sz w:val="18"/>
                <w:szCs w:val="18"/>
              </w:rPr>
            </w:pPr>
            <w:r>
              <w:rPr>
                <w:rFonts w:hint="eastAsia" w:ascii="仿宋_GB2312" w:hAnsi="Times New Roman" w:eastAsia="仿宋_GB2312"/>
                <w:sz w:val="18"/>
                <w:szCs w:val="18"/>
              </w:rPr>
              <w:t>用人单位盖章：</w:t>
            </w:r>
          </w:p>
          <w:p>
            <w:pPr>
              <w:tabs>
                <w:tab w:val="left" w:pos="5670"/>
              </w:tabs>
              <w:adjustRightInd w:val="0"/>
              <w:snapToGrid w:val="0"/>
              <w:jc w:val="left"/>
              <w:rPr>
                <w:rFonts w:ascii="仿宋_GB2312" w:hAnsi="Times New Roman" w:eastAsia="仿宋_GB2312"/>
                <w:sz w:val="18"/>
                <w:szCs w:val="18"/>
              </w:rPr>
            </w:pPr>
          </w:p>
          <w:p>
            <w:pPr>
              <w:tabs>
                <w:tab w:val="left" w:pos="5670"/>
              </w:tabs>
              <w:adjustRightInd w:val="0"/>
              <w:snapToGrid w:val="0"/>
              <w:jc w:val="left"/>
              <w:rPr>
                <w:rFonts w:ascii="仿宋_GB2312" w:hAnsi="Times New Roman" w:eastAsia="仿宋_GB2312"/>
                <w:sz w:val="18"/>
                <w:szCs w:val="18"/>
              </w:rPr>
            </w:pPr>
          </w:p>
          <w:p>
            <w:pPr>
              <w:adjustRightInd w:val="0"/>
              <w:snapToGrid w:val="0"/>
              <w:ind w:firstLine="360" w:firstLineChars="200"/>
              <w:jc w:val="left"/>
              <w:rPr>
                <w:rFonts w:ascii="仿宋_GB2312" w:hAnsi="Times New Roman" w:eastAsia="仿宋_GB2312"/>
                <w:sz w:val="18"/>
                <w:szCs w:val="18"/>
              </w:rPr>
            </w:pPr>
            <w:r>
              <w:rPr>
                <w:rFonts w:hint="eastAsia" w:ascii="仿宋_GB2312" w:hAnsi="Times New Roman" w:eastAsia="仿宋_GB2312"/>
                <w:sz w:val="18"/>
                <w:szCs w:val="18"/>
              </w:rPr>
              <w:t>此材料内容均真实、准确、有效。如有不实，本单位愿意承担由此产生的一切法律责任。</w:t>
            </w:r>
          </w:p>
          <w:p>
            <w:pPr>
              <w:adjustRightInd w:val="0"/>
              <w:snapToGrid w:val="0"/>
              <w:jc w:val="left"/>
              <w:rPr>
                <w:rFonts w:ascii="仿宋_GB2312" w:hAnsi="Times New Roman" w:eastAsia="仿宋_GB2312"/>
                <w:sz w:val="18"/>
                <w:szCs w:val="18"/>
              </w:rPr>
            </w:pPr>
          </w:p>
          <w:p>
            <w:pPr>
              <w:adjustRightInd w:val="0"/>
              <w:snapToGrid w:val="0"/>
              <w:jc w:val="left"/>
              <w:rPr>
                <w:rFonts w:ascii="仿宋_GB2312" w:hAnsi="Times New Roman" w:eastAsia="仿宋_GB2312"/>
                <w:sz w:val="18"/>
                <w:szCs w:val="18"/>
              </w:rPr>
            </w:pPr>
          </w:p>
          <w:p>
            <w:pPr>
              <w:widowControl/>
              <w:adjustRightInd w:val="0"/>
              <w:snapToGrid w:val="0"/>
              <w:jc w:val="right"/>
              <w:rPr>
                <w:rFonts w:ascii="仿宋_GB2312" w:hAnsi="Times New Roman" w:eastAsia="仿宋_GB2312"/>
                <w:kern w:val="0"/>
                <w:sz w:val="18"/>
                <w:szCs w:val="18"/>
              </w:rPr>
            </w:pPr>
            <w:r>
              <w:rPr>
                <w:rFonts w:hint="eastAsia" w:ascii="仿宋_GB2312" w:hAnsi="Times New Roman" w:eastAsia="仿宋_GB2312"/>
                <w:sz w:val="18"/>
                <w:szCs w:val="18"/>
              </w:rPr>
              <w:t>日期：</w:t>
            </w:r>
            <w:r>
              <w:rPr>
                <w:rFonts w:ascii="仿宋_GB2312" w:hAnsi="Times New Roman" w:eastAsia="仿宋_GB2312"/>
                <w:sz w:val="18"/>
                <w:szCs w:val="18"/>
              </w:rPr>
              <w:t xml:space="preserve">   </w:t>
            </w:r>
            <w:r>
              <w:rPr>
                <w:rFonts w:hint="eastAsia" w:ascii="仿宋_GB2312" w:hAnsi="Times New Roman" w:eastAsia="仿宋_GB2312"/>
                <w:sz w:val="18"/>
                <w:szCs w:val="18"/>
              </w:rPr>
              <w:t>年</w:t>
            </w:r>
            <w:r>
              <w:rPr>
                <w:rFonts w:ascii="仿宋_GB2312" w:hAnsi="Times New Roman" w:eastAsia="仿宋_GB2312"/>
                <w:sz w:val="18"/>
                <w:szCs w:val="18"/>
              </w:rPr>
              <w:t xml:space="preserve">   </w:t>
            </w:r>
            <w:r>
              <w:rPr>
                <w:rFonts w:hint="eastAsia" w:ascii="仿宋_GB2312" w:hAnsi="Times New Roman" w:eastAsia="仿宋_GB2312"/>
                <w:sz w:val="18"/>
                <w:szCs w:val="18"/>
              </w:rPr>
              <w:t>月</w:t>
            </w:r>
            <w:r>
              <w:rPr>
                <w:rFonts w:ascii="仿宋_GB2312" w:hAnsi="Times New Roman" w:eastAsia="仿宋_GB2312"/>
                <w:sz w:val="18"/>
                <w:szCs w:val="18"/>
              </w:rPr>
              <w:t xml:space="preserve">   </w:t>
            </w:r>
            <w:r>
              <w:rPr>
                <w:rFonts w:hint="eastAsia" w:ascii="仿宋_GB2312" w:hAnsi="Times New Roman" w:eastAsia="仿宋_GB2312"/>
                <w:sz w:val="18"/>
                <w:szCs w:val="18"/>
              </w:rPr>
              <w:t>日</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5386F"/>
    <w:multiLevelType w:val="multilevel"/>
    <w:tmpl w:val="0DA5386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D463190"/>
    <w:multiLevelType w:val="multilevel"/>
    <w:tmpl w:val="4D463190"/>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I1YTQ5MjJlOTkzMDhjOTI4MjgyNmM1NDFjYTgwNzcifQ=="/>
  </w:docVars>
  <w:rsids>
    <w:rsidRoot w:val="009B2763"/>
    <w:rsid w:val="002D0623"/>
    <w:rsid w:val="00386702"/>
    <w:rsid w:val="00520F5C"/>
    <w:rsid w:val="006F4B39"/>
    <w:rsid w:val="00811446"/>
    <w:rsid w:val="00843A59"/>
    <w:rsid w:val="009B2763"/>
    <w:rsid w:val="00A41717"/>
    <w:rsid w:val="00E70EBB"/>
    <w:rsid w:val="00F01D13"/>
    <w:rsid w:val="00FA7A4F"/>
    <w:rsid w:val="0168403E"/>
    <w:rsid w:val="29F47148"/>
    <w:rsid w:val="3EAB0813"/>
    <w:rsid w:val="483274EA"/>
    <w:rsid w:val="5DEFACDF"/>
    <w:rsid w:val="7256500D"/>
    <w:rsid w:val="7A253E74"/>
    <w:rsid w:val="93EDB20F"/>
    <w:rsid w:val="9F2CA5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iPriority w:val="99"/>
  </w:style>
  <w:style w:type="paragraph" w:styleId="3">
    <w:name w:val="footer"/>
    <w:basedOn w:val="1"/>
    <w:link w:val="10"/>
    <w:autoRedefine/>
    <w:uiPriority w:val="99"/>
    <w:pPr>
      <w:tabs>
        <w:tab w:val="center" w:pos="4153"/>
        <w:tab w:val="right" w:pos="8306"/>
      </w:tabs>
      <w:snapToGrid w:val="0"/>
      <w:jc w:val="left"/>
    </w:pPr>
    <w:rPr>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autoRedefin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Body Text First Indent"/>
    <w:basedOn w:val="2"/>
    <w:link w:val="12"/>
    <w:autoRedefine/>
    <w:uiPriority w:val="99"/>
    <w:pPr>
      <w:ind w:firstLine="420" w:firstLineChars="100"/>
    </w:pPr>
  </w:style>
  <w:style w:type="character" w:customStyle="1" w:styleId="9">
    <w:name w:val="Body Text Char"/>
    <w:basedOn w:val="8"/>
    <w:link w:val="2"/>
    <w:semiHidden/>
    <w:locked/>
    <w:uiPriority w:val="99"/>
    <w:rPr>
      <w:rFonts w:cs="Times New Roman"/>
      <w:sz w:val="24"/>
      <w:szCs w:val="24"/>
    </w:rPr>
  </w:style>
  <w:style w:type="character" w:customStyle="1" w:styleId="10">
    <w:name w:val="Footer Char"/>
    <w:basedOn w:val="8"/>
    <w:link w:val="3"/>
    <w:semiHidden/>
    <w:locked/>
    <w:uiPriority w:val="99"/>
    <w:rPr>
      <w:rFonts w:cs="Times New Roman"/>
      <w:sz w:val="18"/>
      <w:szCs w:val="18"/>
    </w:rPr>
  </w:style>
  <w:style w:type="character" w:customStyle="1" w:styleId="11">
    <w:name w:val="HTML Preformatted Char"/>
    <w:basedOn w:val="8"/>
    <w:link w:val="5"/>
    <w:semiHidden/>
    <w:locked/>
    <w:uiPriority w:val="99"/>
    <w:rPr>
      <w:rFonts w:ascii="Courier New" w:hAnsi="Courier New" w:cs="Courier New"/>
      <w:sz w:val="20"/>
      <w:szCs w:val="20"/>
    </w:rPr>
  </w:style>
  <w:style w:type="character" w:customStyle="1" w:styleId="12">
    <w:name w:val="Body Text First Indent Char"/>
    <w:basedOn w:val="9"/>
    <w:link w:val="6"/>
    <w:semiHidden/>
    <w:locked/>
    <w:uiPriority w:val="99"/>
  </w:style>
  <w:style w:type="character" w:customStyle="1" w:styleId="13">
    <w:name w:val="Header Char"/>
    <w:basedOn w:val="8"/>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20</Pages>
  <Words>18527</Words>
  <Characters>18801</Characters>
  <Lines>0</Lines>
  <Paragraphs>0</Paragraphs>
  <TotalTime>11</TotalTime>
  <ScaleCrop>false</ScaleCrop>
  <LinksUpToDate>false</LinksUpToDate>
  <CharactersWithSpaces>19020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Administrator</cp:lastModifiedBy>
  <dcterms:modified xsi:type="dcterms:W3CDTF">2024-03-25T10:03:24Z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61388FBD0F4E480B92B741FBC4F4442C_12</vt:lpwstr>
  </property>
</Properties>
</file>