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cs="Times New Roman" w:asciiTheme="majorEastAsia" w:hAnsiTheme="majorEastAsia" w:eastAsiaTheme="majorEastAsia"/>
          <w:b/>
          <w:sz w:val="44"/>
          <w:szCs w:val="44"/>
        </w:rPr>
      </w:pPr>
    </w:p>
    <w:p>
      <w:pPr>
        <w:spacing w:line="600" w:lineRule="exact"/>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六安市裕安区退役军人事务局20</w:t>
      </w:r>
      <w:r>
        <w:rPr>
          <w:rFonts w:hint="eastAsia" w:cs="Times New Roman" w:asciiTheme="majorEastAsia" w:hAnsiTheme="majorEastAsia" w:eastAsiaTheme="majorEastAsia"/>
          <w:b/>
          <w:sz w:val="44"/>
          <w:szCs w:val="44"/>
          <w:lang w:val="en-US" w:eastAsia="zh-CN"/>
        </w:rPr>
        <w:t>21</w:t>
      </w:r>
      <w:bookmarkStart w:id="0" w:name="_GoBack"/>
      <w:bookmarkEnd w:id="0"/>
      <w:r>
        <w:rPr>
          <w:rFonts w:hint="eastAsia" w:cs="Times New Roman" w:asciiTheme="majorEastAsia" w:hAnsiTheme="majorEastAsia" w:eastAsiaTheme="majorEastAsia"/>
          <w:b/>
          <w:sz w:val="44"/>
          <w:szCs w:val="44"/>
        </w:rPr>
        <w:t>年政府信息公开工作年度报告</w:t>
      </w:r>
    </w:p>
    <w:p>
      <w:pPr>
        <w:spacing w:line="600" w:lineRule="exact"/>
        <w:jc w:val="center"/>
        <w:rPr>
          <w:rFonts w:ascii="Times New Roman" w:hAnsi="Times New Roman" w:eastAsia="方正小标宋简体" w:cs="Times New Roman"/>
          <w:sz w:val="44"/>
          <w:szCs w:val="44"/>
        </w:rPr>
      </w:pPr>
    </w:p>
    <w:p>
      <w:pPr>
        <w:pStyle w:val="2"/>
        <w:keepNext w:val="0"/>
        <w:keepLines w:val="0"/>
        <w:widowControl/>
        <w:suppressLineNumbers w:val="0"/>
        <w:spacing w:before="0" w:beforeAutospacing="0" w:after="0" w:afterAutospacing="0" w:line="800" w:lineRule="atLeast"/>
        <w:ind w:left="0" w:right="0" w:firstLine="640" w:firstLineChars="200"/>
        <w:jc w:val="left"/>
        <w:rPr>
          <w:rFonts w:ascii="Calibri" w:hAnsi="Calibri" w:cs="Calibri"/>
          <w:sz w:val="21"/>
          <w:szCs w:val="21"/>
        </w:rPr>
      </w:pPr>
      <w:r>
        <w:rPr>
          <w:rFonts w:ascii="仿宋" w:hAnsi="仿宋" w:eastAsia="仿宋" w:cs="仿宋"/>
          <w:sz w:val="32"/>
          <w:szCs w:val="32"/>
        </w:rPr>
        <w:t>根据新修订《中华人民共和国政府信息公开条例》（以下简称《条例》），编制</w:t>
      </w:r>
      <w:r>
        <w:rPr>
          <w:rFonts w:hint="default" w:ascii="Times New Roman" w:hAnsi="Times New Roman" w:eastAsia="仿宋" w:cs="Times New Roman"/>
          <w:sz w:val="32"/>
          <w:szCs w:val="32"/>
        </w:rPr>
        <w:t>202</w:t>
      </w:r>
      <w:r>
        <w:rPr>
          <w:rFonts w:hint="default" w:ascii="Times New Roman" w:hAnsi="Times New Roman" w:cs="Times New Roman"/>
          <w:sz w:val="32"/>
          <w:szCs w:val="32"/>
        </w:rPr>
        <w:t>1</w:t>
      </w:r>
      <w:r>
        <w:rPr>
          <w:rFonts w:hint="eastAsia" w:ascii="仿宋" w:hAnsi="仿宋" w:eastAsia="仿宋" w:cs="仿宋"/>
          <w:sz w:val="32"/>
          <w:szCs w:val="32"/>
        </w:rPr>
        <w:t>年六安市裕安区退役军人事务局信息公开年度报告。我局将结合实际情况进行报告，主要围绕总体情况、主动公开政府信息情况、收到和处理政府信息公开申请情况、政府信息公开行政复议，行政诉讼情况、存在的主要问题及改进情况、其他需要报告的事项等方面展开总结报告。报告统计期限为</w:t>
      </w:r>
      <w:r>
        <w:rPr>
          <w:rFonts w:hint="default" w:ascii="Times New Roman" w:hAnsi="Times New Roman" w:eastAsia="仿宋" w:cs="Times New Roman"/>
          <w:sz w:val="32"/>
          <w:szCs w:val="32"/>
        </w:rPr>
        <w:t>202</w:t>
      </w:r>
      <w:r>
        <w:rPr>
          <w:rFonts w:hint="default" w:ascii="Times New Roman" w:hAnsi="Times New Roman" w:cs="Times New Roman"/>
          <w:sz w:val="32"/>
          <w:szCs w:val="32"/>
        </w:rPr>
        <w:t>1</w:t>
      </w:r>
      <w:r>
        <w:rPr>
          <w:rFonts w:hint="eastAsia" w:ascii="仿宋" w:hAnsi="仿宋" w:eastAsia="仿宋" w:cs="仿宋"/>
          <w:sz w:val="32"/>
          <w:szCs w:val="32"/>
        </w:rPr>
        <w:t>年</w:t>
      </w:r>
      <w:r>
        <w:rPr>
          <w:rFonts w:hint="default" w:ascii="Times New Roman" w:hAnsi="Times New Roman" w:eastAsia="仿宋" w:cs="Times New Roman"/>
          <w:sz w:val="32"/>
          <w:szCs w:val="32"/>
        </w:rPr>
        <w:t>1</w:t>
      </w:r>
      <w:r>
        <w:rPr>
          <w:rFonts w:hint="eastAsia" w:ascii="仿宋" w:hAnsi="仿宋" w:eastAsia="仿宋" w:cs="仿宋"/>
          <w:sz w:val="32"/>
          <w:szCs w:val="32"/>
        </w:rPr>
        <w:t>月</w:t>
      </w:r>
      <w:r>
        <w:rPr>
          <w:rFonts w:hint="default" w:ascii="Times New Roman" w:hAnsi="Times New Roman" w:eastAsia="仿宋" w:cs="Times New Roman"/>
          <w:sz w:val="32"/>
          <w:szCs w:val="32"/>
        </w:rPr>
        <w:t>1</w:t>
      </w:r>
      <w:r>
        <w:rPr>
          <w:rFonts w:hint="eastAsia" w:ascii="仿宋" w:hAnsi="仿宋" w:eastAsia="仿宋" w:cs="仿宋"/>
          <w:sz w:val="32"/>
          <w:szCs w:val="32"/>
        </w:rPr>
        <w:t>日至</w:t>
      </w:r>
      <w:r>
        <w:rPr>
          <w:rFonts w:hint="default" w:ascii="Times New Roman" w:hAnsi="Times New Roman" w:eastAsia="仿宋" w:cs="Times New Roman"/>
          <w:sz w:val="32"/>
          <w:szCs w:val="32"/>
        </w:rPr>
        <w:t>202</w:t>
      </w:r>
      <w:r>
        <w:rPr>
          <w:rFonts w:hint="default" w:ascii="Times New Roman" w:hAnsi="Times New Roman" w:cs="Times New Roman"/>
          <w:sz w:val="32"/>
          <w:szCs w:val="32"/>
        </w:rPr>
        <w:t>1</w:t>
      </w:r>
      <w:r>
        <w:rPr>
          <w:rFonts w:hint="eastAsia" w:ascii="仿宋" w:hAnsi="仿宋" w:eastAsia="仿宋" w:cs="仿宋"/>
          <w:sz w:val="32"/>
          <w:szCs w:val="32"/>
        </w:rPr>
        <w:t>年</w:t>
      </w:r>
      <w:r>
        <w:rPr>
          <w:rFonts w:hint="default" w:ascii="Times New Roman" w:hAnsi="Times New Roman" w:eastAsia="仿宋" w:cs="Times New Roman"/>
          <w:sz w:val="32"/>
          <w:szCs w:val="32"/>
        </w:rPr>
        <w:t>12</w:t>
      </w:r>
      <w:r>
        <w:rPr>
          <w:rFonts w:hint="eastAsia" w:ascii="仿宋" w:hAnsi="仿宋" w:eastAsia="仿宋" w:cs="仿宋"/>
          <w:sz w:val="32"/>
          <w:szCs w:val="32"/>
        </w:rPr>
        <w:t>月</w:t>
      </w:r>
      <w:r>
        <w:rPr>
          <w:rFonts w:hint="default" w:ascii="Times New Roman" w:hAnsi="Times New Roman" w:eastAsia="仿宋" w:cs="Times New Roman"/>
          <w:sz w:val="32"/>
          <w:szCs w:val="32"/>
        </w:rPr>
        <w:t>31</w:t>
      </w:r>
      <w:r>
        <w:rPr>
          <w:rFonts w:hint="eastAsia" w:ascii="仿宋" w:hAnsi="仿宋" w:eastAsia="仿宋" w:cs="仿宋"/>
          <w:sz w:val="32"/>
          <w:szCs w:val="32"/>
        </w:rPr>
        <w:t>日，本年度报告电子版可在六安市裕安区退役军人事务局信息公开平台下载。如对本报告有任何疑问，请与六安市裕安区退役军人事务局联系（地址：裕安区政府东侧龙井沟路；邮编：</w:t>
      </w:r>
      <w:r>
        <w:rPr>
          <w:rFonts w:hint="default" w:ascii="Times New Roman" w:hAnsi="Times New Roman" w:eastAsia="仿宋" w:cs="Times New Roman"/>
          <w:sz w:val="32"/>
          <w:szCs w:val="32"/>
        </w:rPr>
        <w:t>237000</w:t>
      </w:r>
      <w:r>
        <w:rPr>
          <w:rFonts w:hint="eastAsia" w:ascii="仿宋" w:hAnsi="仿宋" w:eastAsia="仿宋" w:cs="仿宋"/>
          <w:sz w:val="32"/>
          <w:szCs w:val="32"/>
        </w:rPr>
        <w:t>；联系电话：</w:t>
      </w:r>
      <w:r>
        <w:rPr>
          <w:rFonts w:hint="default" w:ascii="Times New Roman" w:hAnsi="Times New Roman" w:eastAsia="仿宋" w:cs="Times New Roman"/>
          <w:sz w:val="32"/>
          <w:szCs w:val="32"/>
        </w:rPr>
        <w:t>0564-3301781</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ascii="黑体" w:hAnsi="宋体" w:eastAsia="黑体" w:cs="黑体"/>
          <w:sz w:val="32"/>
          <w:szCs w:val="32"/>
        </w:rPr>
        <w:t>一、总体情况</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default" w:ascii="Times New Roman" w:hAnsi="Times New Roman" w:eastAsia="仿宋" w:cs="Times New Roman"/>
          <w:sz w:val="32"/>
          <w:szCs w:val="32"/>
        </w:rPr>
        <w:t>2021</w:t>
      </w:r>
      <w:r>
        <w:rPr>
          <w:rFonts w:hint="eastAsia" w:ascii="仿宋" w:hAnsi="仿宋" w:eastAsia="仿宋" w:cs="仿宋"/>
          <w:sz w:val="32"/>
          <w:szCs w:val="32"/>
        </w:rPr>
        <w:t xml:space="preserve">年，我局始终贯彻《政务公开工作指南》坚决做到政务公开“三审”制度，让广大退役军人了解相关政策，维护好切身利益为目的。切实保障人民群众及广大退役复员、转业、伤、病、残军人对退役军人事务工作的知情权、参与权、表达权和监督权。我局现将一年工作报告如下； </w:t>
      </w:r>
    </w:p>
    <w:p>
      <w:pPr>
        <w:pStyle w:val="2"/>
        <w:keepNext w:val="0"/>
        <w:keepLines w:val="0"/>
        <w:widowControl/>
        <w:suppressLineNumbers w:val="0"/>
        <w:spacing w:before="0" w:beforeAutospacing="0" w:after="0" w:afterAutospacing="0" w:line="600" w:lineRule="atLeast"/>
        <w:ind w:left="0" w:right="0" w:firstLine="643"/>
        <w:jc w:val="left"/>
        <w:rPr>
          <w:rFonts w:hint="default" w:ascii="Calibri" w:hAnsi="Calibri" w:cs="Calibri"/>
          <w:sz w:val="21"/>
          <w:szCs w:val="21"/>
        </w:rPr>
      </w:pPr>
      <w:r>
        <w:rPr>
          <w:rFonts w:ascii="楷体" w:hAnsi="楷体" w:eastAsia="楷体" w:cs="楷体"/>
          <w:sz w:val="32"/>
          <w:szCs w:val="32"/>
        </w:rPr>
        <w:t>（一）</w:t>
      </w:r>
      <w:r>
        <w:rPr>
          <w:rFonts w:hint="eastAsia" w:ascii="楷体" w:hAnsi="楷体" w:eastAsia="楷体" w:cs="楷体"/>
          <w:b/>
          <w:bCs/>
          <w:sz w:val="32"/>
          <w:szCs w:val="32"/>
        </w:rPr>
        <w:t>主动公开。</w:t>
      </w:r>
      <w:r>
        <w:rPr>
          <w:rFonts w:hint="eastAsia" w:ascii="仿宋" w:hAnsi="仿宋" w:eastAsia="仿宋" w:cs="仿宋"/>
          <w:sz w:val="32"/>
          <w:szCs w:val="32"/>
        </w:rPr>
        <w:t>一年来，我局公开指南发布数</w:t>
      </w:r>
      <w:r>
        <w:rPr>
          <w:rFonts w:hint="default" w:ascii="Times New Roman" w:hAnsi="Times New Roman" w:eastAsia="仿宋" w:cs="Times New Roman"/>
          <w:sz w:val="32"/>
          <w:szCs w:val="32"/>
        </w:rPr>
        <w:t>1</w:t>
      </w:r>
      <w:r>
        <w:rPr>
          <w:rFonts w:hint="eastAsia" w:ascii="仿宋" w:hAnsi="仿宋" w:eastAsia="仿宋" w:cs="仿宋"/>
          <w:sz w:val="32"/>
          <w:szCs w:val="32"/>
        </w:rPr>
        <w:t>条，公开制度发布数</w:t>
      </w:r>
      <w:r>
        <w:rPr>
          <w:rFonts w:hint="default" w:ascii="Times New Roman" w:hAnsi="Times New Roman" w:eastAsia="仿宋" w:cs="Times New Roman"/>
          <w:sz w:val="32"/>
          <w:szCs w:val="32"/>
        </w:rPr>
        <w:t>2</w:t>
      </w:r>
      <w:r>
        <w:rPr>
          <w:rFonts w:hint="eastAsia" w:ascii="仿宋" w:hAnsi="仿宋" w:eastAsia="仿宋" w:cs="仿宋"/>
          <w:sz w:val="32"/>
          <w:szCs w:val="32"/>
        </w:rPr>
        <w:t>条。依托裕安区政府信息公开网，推进电子政务建设和网上政务公开。</w:t>
      </w:r>
      <w:r>
        <w:rPr>
          <w:rFonts w:hint="default" w:ascii="Times New Roman" w:hAnsi="Times New Roman" w:eastAsia="仿宋" w:cs="Times New Roman"/>
          <w:sz w:val="32"/>
          <w:szCs w:val="32"/>
        </w:rPr>
        <w:t>2021</w:t>
      </w:r>
      <w:r>
        <w:rPr>
          <w:rFonts w:hint="eastAsia" w:ascii="仿宋" w:hAnsi="仿宋" w:eastAsia="仿宋" w:cs="仿宋"/>
          <w:sz w:val="32"/>
          <w:szCs w:val="32"/>
        </w:rPr>
        <w:t>年共发布政务动态信息更新</w:t>
      </w:r>
      <w:r>
        <w:rPr>
          <w:rFonts w:hint="default" w:ascii="Times New Roman" w:hAnsi="Times New Roman" w:eastAsia="仿宋" w:cs="Times New Roman"/>
          <w:sz w:val="32"/>
          <w:szCs w:val="32"/>
        </w:rPr>
        <w:t>233</w:t>
      </w:r>
      <w:r>
        <w:rPr>
          <w:rFonts w:hint="eastAsia" w:ascii="仿宋" w:hAnsi="仿宋" w:eastAsia="仿宋" w:cs="仿宋"/>
          <w:sz w:val="32"/>
          <w:szCs w:val="32"/>
        </w:rPr>
        <w:t>条，解读材料</w:t>
      </w:r>
      <w:r>
        <w:rPr>
          <w:rFonts w:hint="default" w:ascii="Times New Roman" w:hAnsi="Times New Roman" w:eastAsia="仿宋" w:cs="Times New Roman"/>
          <w:sz w:val="32"/>
          <w:szCs w:val="32"/>
        </w:rPr>
        <w:t>42</w:t>
      </w:r>
      <w:r>
        <w:rPr>
          <w:rFonts w:hint="eastAsia" w:ascii="仿宋" w:hAnsi="仿宋" w:eastAsia="仿宋" w:cs="仿宋"/>
          <w:sz w:val="32"/>
          <w:szCs w:val="32"/>
        </w:rPr>
        <w:t>篇，及时更新重点领域栏目内容，将伤残军人定期补助进行公示，开设重点领域</w:t>
      </w:r>
      <w:r>
        <w:rPr>
          <w:rFonts w:hint="default" w:ascii="Times New Roman" w:hAnsi="Times New Roman" w:eastAsia="仿宋" w:cs="Times New Roman"/>
          <w:sz w:val="32"/>
          <w:szCs w:val="32"/>
        </w:rPr>
        <w:t>1</w:t>
      </w:r>
      <w:r>
        <w:rPr>
          <w:rFonts w:hint="eastAsia" w:ascii="仿宋" w:hAnsi="仿宋" w:eastAsia="仿宋" w:cs="仿宋"/>
          <w:sz w:val="32"/>
          <w:szCs w:val="32"/>
        </w:rPr>
        <w:t>个栏目，发布</w:t>
      </w:r>
      <w:r>
        <w:rPr>
          <w:rFonts w:hint="default" w:ascii="Times New Roman" w:hAnsi="Times New Roman" w:eastAsia="仿宋" w:cs="Times New Roman"/>
          <w:sz w:val="32"/>
          <w:szCs w:val="32"/>
        </w:rPr>
        <w:t>13</w:t>
      </w:r>
      <w:r>
        <w:rPr>
          <w:rFonts w:hint="eastAsia" w:ascii="仿宋" w:hAnsi="仿宋" w:eastAsia="仿宋" w:cs="仿宋"/>
          <w:sz w:val="32"/>
          <w:szCs w:val="32"/>
        </w:rPr>
        <w:t>编创业就业政策解读，财政专项资金管理</w:t>
      </w:r>
      <w:r>
        <w:rPr>
          <w:rFonts w:hint="default" w:ascii="Times New Roman" w:hAnsi="Times New Roman" w:eastAsia="仿宋" w:cs="Times New Roman"/>
          <w:sz w:val="32"/>
          <w:szCs w:val="32"/>
        </w:rPr>
        <w:t>23</w:t>
      </w:r>
      <w:r>
        <w:rPr>
          <w:rFonts w:hint="eastAsia" w:ascii="仿宋" w:hAnsi="仿宋" w:eastAsia="仿宋" w:cs="仿宋"/>
          <w:sz w:val="32"/>
          <w:szCs w:val="32"/>
        </w:rPr>
        <w:t>条、党史学习教育报道</w:t>
      </w:r>
      <w:r>
        <w:rPr>
          <w:rFonts w:hint="default" w:ascii="Times New Roman" w:hAnsi="Times New Roman" w:eastAsia="仿宋" w:cs="Times New Roman"/>
          <w:sz w:val="32"/>
          <w:szCs w:val="32"/>
        </w:rPr>
        <w:t>3</w:t>
      </w:r>
      <w:r>
        <w:rPr>
          <w:rFonts w:hint="eastAsia" w:ascii="仿宋" w:hAnsi="仿宋" w:eastAsia="仿宋" w:cs="仿宋"/>
          <w:sz w:val="32"/>
          <w:szCs w:val="32"/>
        </w:rPr>
        <w:t>篇，双拥“结对帮扶工作”定期开展，并将开展情况跟踪报道，安置工作有序开展，及时对应公开安置工作开展进度，及时转发关切优待证办理进度及相关政策，促进就业创业政策与工作推进</w:t>
      </w:r>
      <w:r>
        <w:rPr>
          <w:rFonts w:hint="default" w:ascii="Times New Roman" w:hAnsi="Times New Roman" w:eastAsia="仿宋" w:cs="Times New Roman"/>
          <w:sz w:val="32"/>
          <w:szCs w:val="32"/>
        </w:rPr>
        <w:t>10</w:t>
      </w:r>
      <w:r>
        <w:rPr>
          <w:rFonts w:hint="eastAsia" w:ascii="仿宋" w:hAnsi="仿宋" w:eastAsia="仿宋" w:cs="仿宋"/>
          <w:sz w:val="32"/>
          <w:szCs w:val="32"/>
        </w:rPr>
        <w:t>篇。</w:t>
      </w:r>
    </w:p>
    <w:p>
      <w:pPr>
        <w:pStyle w:val="2"/>
        <w:keepNext w:val="0"/>
        <w:keepLines w:val="0"/>
        <w:widowControl/>
        <w:suppressLineNumbers w:val="0"/>
        <w:spacing w:before="0" w:beforeAutospacing="0" w:after="0" w:afterAutospacing="0" w:line="600" w:lineRule="atLeast"/>
        <w:ind w:left="0" w:right="0" w:firstLine="643"/>
        <w:jc w:val="left"/>
        <w:rPr>
          <w:rFonts w:hint="default" w:ascii="Calibri" w:hAnsi="Calibri" w:cs="Calibri"/>
          <w:sz w:val="21"/>
          <w:szCs w:val="21"/>
        </w:rPr>
      </w:pPr>
      <w:r>
        <w:rPr>
          <w:rFonts w:hint="eastAsia" w:ascii="楷体" w:hAnsi="楷体" w:eastAsia="楷体" w:cs="楷体"/>
          <w:b/>
          <w:bCs/>
          <w:sz w:val="32"/>
          <w:szCs w:val="32"/>
        </w:rPr>
        <w:t>（二）依申请公开。</w:t>
      </w:r>
      <w:r>
        <w:rPr>
          <w:rFonts w:hint="eastAsia" w:ascii="仿宋" w:hAnsi="仿宋" w:eastAsia="仿宋" w:cs="仿宋"/>
          <w:sz w:val="32"/>
          <w:szCs w:val="32"/>
        </w:rPr>
        <w:t>严格遵守依申请公开正规办理程序，坚持规范依申请公开接收、登记、办理、审核、答复、归档等各个流程。</w:t>
      </w:r>
      <w:r>
        <w:rPr>
          <w:rFonts w:hint="default" w:ascii="Times New Roman" w:hAnsi="Times New Roman" w:eastAsia="仿宋" w:cs="Times New Roman"/>
          <w:sz w:val="32"/>
          <w:szCs w:val="32"/>
        </w:rPr>
        <w:t>2021</w:t>
      </w:r>
      <w:r>
        <w:rPr>
          <w:rFonts w:hint="eastAsia" w:ascii="仿宋" w:hAnsi="仿宋" w:eastAsia="仿宋" w:cs="仿宋"/>
          <w:sz w:val="32"/>
          <w:szCs w:val="32"/>
        </w:rPr>
        <w:t>年我局收到依申请公开申请事项</w:t>
      </w:r>
      <w:r>
        <w:rPr>
          <w:rFonts w:hint="default" w:ascii="Times New Roman" w:hAnsi="Times New Roman" w:eastAsia="仿宋" w:cs="Times New Roman"/>
          <w:sz w:val="32"/>
          <w:szCs w:val="32"/>
        </w:rPr>
        <w:t>0</w:t>
      </w:r>
      <w:r>
        <w:rPr>
          <w:rFonts w:hint="eastAsia" w:ascii="仿宋" w:hAnsi="仿宋" w:eastAsia="仿宋" w:cs="仿宋"/>
          <w:sz w:val="32"/>
          <w:szCs w:val="32"/>
        </w:rPr>
        <w:t>件。</w:t>
      </w:r>
    </w:p>
    <w:p>
      <w:pPr>
        <w:pStyle w:val="2"/>
        <w:keepNext w:val="0"/>
        <w:keepLines w:val="0"/>
        <w:widowControl/>
        <w:suppressLineNumbers w:val="0"/>
        <w:spacing w:before="0" w:beforeAutospacing="0" w:after="0" w:afterAutospacing="0" w:line="600" w:lineRule="atLeast"/>
        <w:ind w:left="0" w:right="0" w:firstLine="643"/>
        <w:jc w:val="left"/>
        <w:rPr>
          <w:rFonts w:hint="default" w:ascii="Calibri" w:hAnsi="Calibri" w:cs="Calibri"/>
          <w:sz w:val="21"/>
          <w:szCs w:val="21"/>
        </w:rPr>
      </w:pPr>
      <w:r>
        <w:rPr>
          <w:rFonts w:hint="eastAsia" w:ascii="楷体" w:hAnsi="楷体" w:eastAsia="楷体" w:cs="楷体"/>
          <w:b/>
          <w:bCs/>
          <w:sz w:val="32"/>
          <w:szCs w:val="32"/>
        </w:rPr>
        <w:t>（三）政府信息管理。</w:t>
      </w:r>
      <w:r>
        <w:rPr>
          <w:rFonts w:hint="eastAsia" w:ascii="仿宋" w:hAnsi="仿宋" w:eastAsia="仿宋" w:cs="仿宋"/>
          <w:sz w:val="32"/>
          <w:szCs w:val="32"/>
        </w:rPr>
        <w:t xml:space="preserve">局能紧跟各项政策文件出台进度，加强常态化政策解读，在各主流媒体刊播权威政策解读问答，为平台推送上级解读文章 </w:t>
      </w:r>
      <w:r>
        <w:rPr>
          <w:rFonts w:hint="default" w:ascii="Times New Roman" w:hAnsi="Times New Roman" w:eastAsia="仿宋" w:cs="Times New Roman"/>
          <w:sz w:val="32"/>
          <w:szCs w:val="32"/>
        </w:rPr>
        <w:t>23</w:t>
      </w:r>
      <w:r>
        <w:rPr>
          <w:rFonts w:hint="eastAsia" w:ascii="仿宋" w:hAnsi="仿宋" w:eastAsia="仿宋" w:cs="仿宋"/>
          <w:sz w:val="32"/>
          <w:szCs w:val="32"/>
        </w:rPr>
        <w:t>篇、负责人解读</w:t>
      </w:r>
      <w:r>
        <w:rPr>
          <w:rFonts w:hint="default" w:ascii="Times New Roman" w:hAnsi="Times New Roman" w:eastAsia="仿宋" w:cs="Times New Roman"/>
          <w:sz w:val="32"/>
          <w:szCs w:val="32"/>
        </w:rPr>
        <w:t>8</w:t>
      </w:r>
      <w:r>
        <w:rPr>
          <w:rFonts w:hint="eastAsia" w:ascii="仿宋" w:hAnsi="仿宋" w:eastAsia="仿宋" w:cs="仿宋"/>
          <w:sz w:val="32"/>
          <w:szCs w:val="32"/>
        </w:rPr>
        <w:t>篇、其他解读</w:t>
      </w:r>
      <w:r>
        <w:rPr>
          <w:rFonts w:hint="default" w:ascii="Times New Roman" w:hAnsi="Times New Roman" w:eastAsia="仿宋" w:cs="Times New Roman"/>
          <w:sz w:val="32"/>
          <w:szCs w:val="32"/>
        </w:rPr>
        <w:t>11</w:t>
      </w:r>
      <w:r>
        <w:rPr>
          <w:rFonts w:hint="eastAsia" w:ascii="仿宋" w:hAnsi="仿宋" w:eastAsia="仿宋" w:cs="仿宋"/>
          <w:sz w:val="32"/>
          <w:szCs w:val="32"/>
        </w:rPr>
        <w:t>篇、开办创业就业专场招聘会活动报道</w:t>
      </w:r>
      <w:r>
        <w:rPr>
          <w:rFonts w:hint="default" w:ascii="Times New Roman" w:hAnsi="Times New Roman" w:eastAsia="仿宋" w:cs="Times New Roman"/>
          <w:sz w:val="32"/>
          <w:szCs w:val="32"/>
        </w:rPr>
        <w:t>3</w:t>
      </w:r>
      <w:r>
        <w:rPr>
          <w:rFonts w:hint="eastAsia" w:ascii="仿宋" w:hAnsi="仿宋" w:eastAsia="仿宋" w:cs="仿宋"/>
          <w:sz w:val="32"/>
          <w:szCs w:val="32"/>
        </w:rPr>
        <w:t>篇。随着退役军人工作系统的不断完善，我局也将陆续出台相关规范性文件，和本级政策性文件，及时做好政策解读，采取多种形式方便广大人民群众方便查阅。</w:t>
      </w:r>
    </w:p>
    <w:p>
      <w:pPr>
        <w:pStyle w:val="2"/>
        <w:keepNext w:val="0"/>
        <w:keepLines w:val="0"/>
        <w:widowControl/>
        <w:suppressLineNumbers w:val="0"/>
        <w:spacing w:before="0" w:beforeAutospacing="0" w:after="226" w:afterAutospacing="0" w:line="560" w:lineRule="atLeast"/>
        <w:ind w:left="0" w:firstLine="643"/>
        <w:jc w:val="left"/>
        <w:textAlignment w:val="baseline"/>
        <w:rPr>
          <w:rFonts w:hint="eastAsia" w:ascii="宋体" w:hAnsi="宋体" w:eastAsia="宋体" w:cs="宋体"/>
          <w:sz w:val="24"/>
          <w:szCs w:val="24"/>
        </w:rPr>
      </w:pPr>
      <w:r>
        <w:rPr>
          <w:rFonts w:hint="eastAsia" w:ascii="楷体" w:hAnsi="楷体" w:eastAsia="楷体" w:cs="楷体"/>
          <w:b/>
          <w:bCs/>
          <w:sz w:val="32"/>
          <w:szCs w:val="32"/>
          <w:vertAlign w:val="baseline"/>
        </w:rPr>
        <w:t>（四）平台建设方面。</w:t>
      </w:r>
      <w:r>
        <w:rPr>
          <w:rFonts w:hint="eastAsia" w:ascii="仿宋" w:hAnsi="仿宋" w:eastAsia="仿宋" w:cs="仿宋"/>
          <w:sz w:val="32"/>
          <w:szCs w:val="32"/>
          <w:vertAlign w:val="baseline"/>
        </w:rPr>
        <w:t>定期维护集约化平台，发挥公开窗口作用，提升平台传播力、引导力、影响力、公信力。发布财政专项资金管理信息23条，开展各项活动和领导走访报道8篇，促进就业政策与规划10篇。监督保障栏目中工作推进13篇，政务公开交流3篇。线下及时制作相关政策解读手册，利用展板展示相关技能培训项目，帮助退役士兵联系培训学校、驾校、院校开设技能培训班。让退役士兵了解更多创业就业政策，提升了退役士兵回乡再就业机率，网站访问总量达1.2万次。</w:t>
      </w:r>
    </w:p>
    <w:p>
      <w:pPr>
        <w:pStyle w:val="2"/>
        <w:keepNext w:val="0"/>
        <w:keepLines w:val="0"/>
        <w:widowControl/>
        <w:suppressLineNumbers w:val="0"/>
        <w:shd w:val="clear" w:fill="FFFFFF"/>
        <w:spacing w:before="0" w:beforeAutospacing="0" w:after="0" w:afterAutospacing="0"/>
        <w:ind w:left="0" w:firstLine="640"/>
        <w:jc w:val="left"/>
        <w:rPr>
          <w:rFonts w:hint="eastAsia" w:ascii="宋体" w:hAnsi="宋体" w:eastAsia="宋体" w:cs="宋体"/>
          <w:sz w:val="24"/>
          <w:szCs w:val="24"/>
        </w:rPr>
      </w:pPr>
      <w:r>
        <w:rPr>
          <w:rFonts w:hint="eastAsia" w:ascii="楷体" w:hAnsi="楷体" w:eastAsia="楷体" w:cs="楷体"/>
          <w:b/>
          <w:bCs/>
          <w:sz w:val="32"/>
          <w:szCs w:val="32"/>
          <w:shd w:val="clear" w:fill="FFFFFF"/>
        </w:rPr>
        <w:t>（五）监督保障方面。</w:t>
      </w:r>
      <w:r>
        <w:rPr>
          <w:rFonts w:hint="eastAsia" w:ascii="仿宋" w:hAnsi="仿宋" w:eastAsia="仿宋" w:cs="仿宋"/>
          <w:sz w:val="32"/>
          <w:szCs w:val="32"/>
          <w:shd w:val="clear" w:fill="FFFFFF"/>
        </w:rPr>
        <w:t>成立领导小组。股室负责人抓信息公开源头关。按月统计工作进展情况，及时向经办人提供政策文件并做好解读。结合效能建设，推进政务公开工作落实，局领导严把内容发布质量，和不定时的抽查系统完善情况。将政务信息公开工作作为个人年度考核依据，评先评优中去。接受社会评议，让群众参与其中，坚持互相监督作用和社会监督相结合体系。</w:t>
      </w:r>
    </w:p>
    <w:p>
      <w:pPr>
        <w:pStyle w:val="2"/>
        <w:keepNext w:val="0"/>
        <w:keepLines w:val="0"/>
        <w:widowControl/>
        <w:suppressLineNumbers w:val="0"/>
        <w:shd w:val="clear" w:fill="FFFFFF"/>
        <w:spacing w:before="0" w:beforeAutospacing="0" w:after="0" w:afterAutospacing="0"/>
        <w:ind w:left="0" w:firstLine="640"/>
        <w:jc w:val="left"/>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600" w:lineRule="atLeast"/>
        <w:jc w:val="left"/>
        <w:rPr>
          <w:rFonts w:hint="eastAsia" w:ascii="宋体" w:hAnsi="宋体" w:eastAsia="宋体" w:cs="宋体"/>
          <w:sz w:val="24"/>
          <w:szCs w:val="24"/>
        </w:rPr>
      </w:pPr>
      <w:r>
        <w:rPr>
          <w:rFonts w:hint="eastAsia" w:ascii="黑体" w:hAnsi="宋体" w:eastAsia="黑体" w:cs="黑体"/>
          <w:b/>
          <w:bCs/>
          <w:color w:val="333333"/>
          <w:sz w:val="32"/>
          <w:szCs w:val="32"/>
        </w:rPr>
        <w:t>     二、主动公开政府信息情况</w:t>
      </w:r>
    </w:p>
    <w:tbl>
      <w:tblPr>
        <w:tblW w:w="8988" w:type="dxa"/>
        <w:tblInd w:w="2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44"/>
        <w:gridCol w:w="1944"/>
        <w:gridCol w:w="1944"/>
        <w:gridCol w:w="31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2" w:hRule="atLeast"/>
        </w:trPr>
        <w:tc>
          <w:tcPr>
            <w:tcW w:w="8976" w:type="dxa"/>
            <w:gridSpan w:val="4"/>
            <w:tcBorders>
              <w:top w:val="single" w:color="000000" w:sz="8" w:space="0"/>
              <w:left w:val="single" w:color="000000" w:sz="8" w:space="0"/>
              <w:bottom w:val="single" w:color="000000" w:sz="8" w:space="0"/>
              <w:right w:val="single" w:color="000000" w:sz="8" w:space="0"/>
            </w:tcBorders>
            <w:shd w:val="clear" w:color="auto" w:fill="C5D9F0"/>
            <w:tcMar>
              <w:top w:w="0" w:type="dxa"/>
              <w:left w:w="0" w:type="dxa"/>
              <w:bottom w:w="0" w:type="dxa"/>
              <w:right w:w="0" w:type="dxa"/>
            </w:tcMar>
            <w:vAlign w:val="top"/>
          </w:tcPr>
          <w:p>
            <w:pPr>
              <w:pStyle w:val="2"/>
              <w:keepNext w:val="0"/>
              <w:keepLines w:val="0"/>
              <w:widowControl/>
              <w:suppressLineNumbers w:val="0"/>
              <w:spacing w:before="43" w:beforeAutospacing="0" w:after="0" w:afterAutospacing="0"/>
              <w:ind w:left="3949" w:right="3931"/>
              <w:jc w:val="left"/>
              <w:rPr>
                <w:rFonts w:hint="eastAsia" w:ascii="宋体" w:hAnsi="宋体" w:eastAsia="宋体" w:cs="宋体"/>
                <w:sz w:val="21"/>
                <w:szCs w:val="21"/>
              </w:rPr>
            </w:pPr>
            <w:r>
              <w:rPr>
                <w:rFonts w:hint="eastAsia" w:ascii="宋体" w:hAnsi="宋体" w:eastAsia="宋体" w:cs="宋体"/>
                <w:sz w:val="20"/>
                <w:szCs w:val="20"/>
              </w:rPr>
              <w:t>  第二十条第（一）项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3" w:hRule="atLeast"/>
        </w:trPr>
        <w:tc>
          <w:tcPr>
            <w:tcW w:w="193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3" w:beforeAutospacing="0" w:after="0" w:afterAutospacing="0"/>
              <w:ind w:left="0" w:right="798"/>
              <w:jc w:val="left"/>
              <w:rPr>
                <w:rFonts w:hint="eastAsia" w:ascii="宋体" w:hAnsi="宋体" w:eastAsia="宋体" w:cs="宋体"/>
                <w:sz w:val="21"/>
                <w:szCs w:val="21"/>
              </w:rPr>
            </w:pPr>
            <w:r>
              <w:rPr>
                <w:rFonts w:hint="eastAsia" w:ascii="宋体" w:hAnsi="宋体" w:eastAsia="宋体" w:cs="宋体"/>
                <w:sz w:val="20"/>
                <w:szCs w:val="20"/>
              </w:rPr>
              <w:t>信息内容</w:t>
            </w:r>
          </w:p>
        </w:tc>
        <w:tc>
          <w:tcPr>
            <w:tcW w:w="19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3" w:beforeAutospacing="0" w:after="0" w:afterAutospacing="0"/>
              <w:ind w:left="617" w:right="0"/>
              <w:jc w:val="left"/>
              <w:rPr>
                <w:rFonts w:hint="eastAsia" w:ascii="宋体" w:hAnsi="宋体" w:eastAsia="宋体" w:cs="宋体"/>
                <w:sz w:val="21"/>
                <w:szCs w:val="21"/>
              </w:rPr>
            </w:pPr>
            <w:r>
              <w:rPr>
                <w:rFonts w:hint="eastAsia" w:ascii="宋体" w:hAnsi="宋体" w:eastAsia="宋体" w:cs="宋体"/>
                <w:sz w:val="20"/>
                <w:szCs w:val="20"/>
              </w:rPr>
              <w:t>本年制发件数</w:t>
            </w:r>
          </w:p>
        </w:tc>
        <w:tc>
          <w:tcPr>
            <w:tcW w:w="19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3" w:beforeAutospacing="0" w:after="0" w:afterAutospacing="0"/>
              <w:ind w:left="616" w:right="0"/>
              <w:jc w:val="left"/>
              <w:rPr>
                <w:rFonts w:hint="eastAsia" w:ascii="宋体" w:hAnsi="宋体" w:eastAsia="宋体" w:cs="宋体"/>
                <w:sz w:val="21"/>
                <w:szCs w:val="21"/>
              </w:rPr>
            </w:pPr>
            <w:r>
              <w:rPr>
                <w:rFonts w:hint="eastAsia" w:ascii="宋体" w:hAnsi="宋体" w:eastAsia="宋体" w:cs="宋体"/>
                <w:sz w:val="20"/>
                <w:szCs w:val="20"/>
              </w:rPr>
              <w:t>本年废止件数</w:t>
            </w:r>
          </w:p>
        </w:tc>
        <w:tc>
          <w:tcPr>
            <w:tcW w:w="19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3" w:beforeAutospacing="0" w:after="0" w:afterAutospacing="0"/>
              <w:ind w:left="617" w:right="0"/>
              <w:jc w:val="left"/>
              <w:rPr>
                <w:rFonts w:hint="eastAsia" w:ascii="宋体" w:hAnsi="宋体" w:eastAsia="宋体" w:cs="宋体"/>
                <w:sz w:val="21"/>
                <w:szCs w:val="21"/>
              </w:rPr>
            </w:pPr>
            <w:r>
              <w:rPr>
                <w:rFonts w:hint="eastAsia" w:ascii="宋体" w:hAnsi="宋体" w:eastAsia="宋体" w:cs="宋体"/>
                <w:sz w:val="20"/>
                <w:szCs w:val="20"/>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9" w:hRule="atLeast"/>
        </w:trPr>
        <w:tc>
          <w:tcPr>
            <w:tcW w:w="193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101" w:beforeAutospacing="0" w:after="0" w:afterAutospacing="0"/>
              <w:ind w:left="57" w:right="0"/>
              <w:jc w:val="left"/>
              <w:rPr>
                <w:rFonts w:hint="eastAsia" w:ascii="宋体" w:hAnsi="宋体" w:eastAsia="宋体" w:cs="宋体"/>
                <w:sz w:val="21"/>
                <w:szCs w:val="21"/>
              </w:rPr>
            </w:pPr>
            <w:r>
              <w:rPr>
                <w:rFonts w:hint="eastAsia" w:ascii="宋体" w:hAnsi="宋体" w:eastAsia="宋体" w:cs="宋体"/>
                <w:sz w:val="20"/>
                <w:szCs w:val="20"/>
              </w:rPr>
              <w:t>规章</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3" w:hRule="atLeast"/>
        </w:trPr>
        <w:tc>
          <w:tcPr>
            <w:tcW w:w="193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57" w:right="0"/>
              <w:jc w:val="left"/>
              <w:rPr>
                <w:rFonts w:hint="eastAsia" w:ascii="宋体" w:hAnsi="宋体" w:eastAsia="宋体" w:cs="宋体"/>
                <w:sz w:val="21"/>
                <w:szCs w:val="21"/>
              </w:rPr>
            </w:pPr>
            <w:r>
              <w:rPr>
                <w:rFonts w:hint="eastAsia" w:ascii="宋体" w:hAnsi="宋体" w:eastAsia="宋体" w:cs="宋体"/>
                <w:sz w:val="20"/>
                <w:szCs w:val="20"/>
              </w:rPr>
              <w:t>行政规范性文件</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6" w:hRule="atLeast"/>
        </w:trPr>
        <w:tc>
          <w:tcPr>
            <w:tcW w:w="8976" w:type="dxa"/>
            <w:gridSpan w:val="4"/>
            <w:tcBorders>
              <w:top w:val="nil"/>
              <w:left w:val="single" w:color="auto" w:sz="8" w:space="0"/>
              <w:bottom w:val="single" w:color="auto" w:sz="8" w:space="0"/>
              <w:right w:val="single" w:color="auto" w:sz="8" w:space="0"/>
            </w:tcBorders>
            <w:shd w:val="clear" w:color="auto" w:fill="C5D9F0"/>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3949" w:right="3931"/>
              <w:jc w:val="left"/>
              <w:rPr>
                <w:rFonts w:hint="eastAsia" w:ascii="宋体" w:hAnsi="宋体" w:eastAsia="宋体" w:cs="宋体"/>
                <w:sz w:val="21"/>
                <w:szCs w:val="21"/>
              </w:rPr>
            </w:pPr>
            <w:r>
              <w:rPr>
                <w:rFonts w:hint="eastAsia" w:ascii="宋体" w:hAnsi="宋体" w:eastAsia="宋体" w:cs="宋体"/>
                <w:sz w:val="20"/>
                <w:szCs w:val="20"/>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0" w:right="798"/>
              <w:jc w:val="left"/>
              <w:rPr>
                <w:rFonts w:hint="eastAsia" w:ascii="宋体" w:hAnsi="宋体" w:eastAsia="宋体" w:cs="宋体"/>
                <w:sz w:val="21"/>
                <w:szCs w:val="21"/>
              </w:rPr>
            </w:pPr>
            <w:r>
              <w:rPr>
                <w:rFonts w:hint="eastAsia" w:ascii="宋体" w:hAnsi="宋体" w:eastAsia="宋体" w:cs="宋体"/>
                <w:sz w:val="20"/>
                <w:szCs w:val="20"/>
              </w:rPr>
              <w:t>信息内容</w:t>
            </w:r>
          </w:p>
        </w:tc>
        <w:tc>
          <w:tcPr>
            <w:tcW w:w="7044" w:type="dxa"/>
            <w:gridSpan w:val="3"/>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2329" w:right="2313"/>
              <w:jc w:val="left"/>
              <w:rPr>
                <w:rFonts w:hint="eastAsia" w:ascii="宋体" w:hAnsi="宋体" w:eastAsia="宋体" w:cs="宋体"/>
                <w:sz w:val="21"/>
                <w:szCs w:val="21"/>
              </w:rPr>
            </w:pPr>
            <w:r>
              <w:rPr>
                <w:rFonts w:hint="eastAsia" w:ascii="宋体" w:hAnsi="宋体" w:eastAsia="宋体" w:cs="宋体"/>
                <w:sz w:val="20"/>
                <w:szCs w:val="20"/>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57" w:right="0"/>
              <w:jc w:val="left"/>
              <w:rPr>
                <w:rFonts w:hint="eastAsia" w:ascii="宋体" w:hAnsi="宋体" w:eastAsia="宋体" w:cs="宋体"/>
                <w:sz w:val="21"/>
                <w:szCs w:val="21"/>
              </w:rPr>
            </w:pPr>
            <w:r>
              <w:rPr>
                <w:rFonts w:hint="eastAsia" w:ascii="宋体" w:hAnsi="宋体" w:eastAsia="宋体" w:cs="宋体"/>
                <w:sz w:val="20"/>
                <w:szCs w:val="20"/>
              </w:rPr>
              <w:t>行政许可</w:t>
            </w:r>
          </w:p>
        </w:tc>
        <w:tc>
          <w:tcPr>
            <w:tcW w:w="7044"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6" w:hRule="atLeast"/>
        </w:trPr>
        <w:tc>
          <w:tcPr>
            <w:tcW w:w="8976" w:type="dxa"/>
            <w:gridSpan w:val="4"/>
            <w:tcBorders>
              <w:top w:val="nil"/>
              <w:left w:val="single" w:color="auto" w:sz="8" w:space="0"/>
              <w:bottom w:val="single" w:color="auto" w:sz="8" w:space="0"/>
              <w:right w:val="single" w:color="auto" w:sz="8" w:space="0"/>
            </w:tcBorders>
            <w:shd w:val="clear" w:color="auto" w:fill="C5D9F0"/>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3949" w:right="3931"/>
              <w:jc w:val="left"/>
              <w:rPr>
                <w:rFonts w:hint="eastAsia" w:ascii="宋体" w:hAnsi="宋体" w:eastAsia="宋体" w:cs="宋体"/>
                <w:sz w:val="21"/>
                <w:szCs w:val="21"/>
              </w:rPr>
            </w:pPr>
            <w:r>
              <w:rPr>
                <w:rFonts w:hint="eastAsia" w:ascii="宋体" w:hAnsi="宋体" w:eastAsia="宋体" w:cs="宋体"/>
                <w:sz w:val="20"/>
                <w:szCs w:val="20"/>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0" w:right="798"/>
              <w:jc w:val="left"/>
              <w:rPr>
                <w:rFonts w:hint="eastAsia" w:ascii="宋体" w:hAnsi="宋体" w:eastAsia="宋体" w:cs="宋体"/>
                <w:sz w:val="21"/>
                <w:szCs w:val="21"/>
              </w:rPr>
            </w:pPr>
            <w:r>
              <w:rPr>
                <w:rFonts w:hint="eastAsia" w:ascii="宋体" w:hAnsi="宋体" w:eastAsia="宋体" w:cs="宋体"/>
                <w:sz w:val="20"/>
                <w:szCs w:val="20"/>
              </w:rPr>
              <w:t>信息内容</w:t>
            </w:r>
          </w:p>
        </w:tc>
        <w:tc>
          <w:tcPr>
            <w:tcW w:w="7044" w:type="dxa"/>
            <w:gridSpan w:val="3"/>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2329" w:right="2313"/>
              <w:jc w:val="left"/>
              <w:rPr>
                <w:rFonts w:hint="eastAsia" w:ascii="宋体" w:hAnsi="宋体" w:eastAsia="宋体" w:cs="宋体"/>
                <w:sz w:val="21"/>
                <w:szCs w:val="21"/>
              </w:rPr>
            </w:pPr>
            <w:r>
              <w:rPr>
                <w:rFonts w:hint="eastAsia" w:ascii="宋体" w:hAnsi="宋体" w:eastAsia="宋体" w:cs="宋体"/>
                <w:sz w:val="20"/>
                <w:szCs w:val="20"/>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9"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80" w:beforeAutospacing="0" w:after="0" w:afterAutospacing="0"/>
              <w:ind w:left="57" w:right="0"/>
              <w:jc w:val="left"/>
              <w:rPr>
                <w:rFonts w:hint="eastAsia" w:ascii="宋体" w:hAnsi="宋体" w:eastAsia="宋体" w:cs="宋体"/>
                <w:sz w:val="21"/>
                <w:szCs w:val="21"/>
              </w:rPr>
            </w:pPr>
            <w:r>
              <w:rPr>
                <w:rFonts w:hint="eastAsia" w:ascii="宋体" w:hAnsi="宋体" w:eastAsia="宋体" w:cs="宋体"/>
                <w:sz w:val="20"/>
                <w:szCs w:val="20"/>
              </w:rPr>
              <w:t>行政处罚</w:t>
            </w:r>
          </w:p>
        </w:tc>
        <w:tc>
          <w:tcPr>
            <w:tcW w:w="7044"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57" w:right="0"/>
              <w:jc w:val="left"/>
              <w:rPr>
                <w:rFonts w:hint="eastAsia" w:ascii="宋体" w:hAnsi="宋体" w:eastAsia="宋体" w:cs="宋体"/>
                <w:sz w:val="21"/>
                <w:szCs w:val="21"/>
              </w:rPr>
            </w:pPr>
            <w:r>
              <w:rPr>
                <w:rFonts w:hint="eastAsia" w:ascii="宋体" w:hAnsi="宋体" w:eastAsia="宋体" w:cs="宋体"/>
                <w:sz w:val="20"/>
                <w:szCs w:val="20"/>
              </w:rPr>
              <w:t>行政强制</w:t>
            </w:r>
          </w:p>
        </w:tc>
        <w:tc>
          <w:tcPr>
            <w:tcW w:w="7044"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76" w:hRule="atLeast"/>
        </w:trPr>
        <w:tc>
          <w:tcPr>
            <w:tcW w:w="8976" w:type="dxa"/>
            <w:gridSpan w:val="4"/>
            <w:tcBorders>
              <w:top w:val="nil"/>
              <w:left w:val="single" w:color="auto" w:sz="8" w:space="0"/>
              <w:bottom w:val="single" w:color="auto" w:sz="8" w:space="0"/>
              <w:right w:val="single" w:color="auto" w:sz="8" w:space="0"/>
            </w:tcBorders>
            <w:shd w:val="clear" w:color="auto" w:fill="C5D9F0"/>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3949" w:right="3931"/>
              <w:jc w:val="left"/>
              <w:rPr>
                <w:rFonts w:hint="eastAsia" w:ascii="宋体" w:hAnsi="宋体" w:eastAsia="宋体" w:cs="宋体"/>
                <w:sz w:val="21"/>
                <w:szCs w:val="21"/>
              </w:rPr>
            </w:pPr>
            <w:r>
              <w:rPr>
                <w:rFonts w:hint="eastAsia" w:ascii="宋体" w:hAnsi="宋体" w:eastAsia="宋体" w:cs="宋体"/>
                <w:sz w:val="20"/>
                <w:szCs w:val="20"/>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0" w:right="798"/>
              <w:jc w:val="left"/>
              <w:rPr>
                <w:rFonts w:hint="eastAsia" w:ascii="宋体" w:hAnsi="宋体" w:eastAsia="宋体" w:cs="宋体"/>
                <w:sz w:val="21"/>
                <w:szCs w:val="21"/>
              </w:rPr>
            </w:pPr>
            <w:r>
              <w:rPr>
                <w:rFonts w:hint="eastAsia" w:ascii="宋体" w:hAnsi="宋体" w:eastAsia="宋体" w:cs="宋体"/>
                <w:sz w:val="20"/>
                <w:szCs w:val="20"/>
              </w:rPr>
              <w:t>信息内容</w:t>
            </w:r>
          </w:p>
        </w:tc>
        <w:tc>
          <w:tcPr>
            <w:tcW w:w="7044" w:type="dxa"/>
            <w:gridSpan w:val="3"/>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2332" w:right="2313"/>
              <w:jc w:val="left"/>
              <w:rPr>
                <w:rFonts w:hint="eastAsia" w:ascii="宋体" w:hAnsi="宋体" w:eastAsia="宋体" w:cs="宋体"/>
                <w:sz w:val="21"/>
                <w:szCs w:val="21"/>
              </w:rPr>
            </w:pPr>
            <w:r>
              <w:rPr>
                <w:rFonts w:hint="eastAsia" w:ascii="宋体" w:hAnsi="宋体" w:eastAsia="宋体" w:cs="宋体"/>
                <w:sz w:val="20"/>
                <w:szCs w:val="20"/>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73" w:hRule="atLeast"/>
        </w:trPr>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2"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42"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0"/>
                <w:szCs w:val="20"/>
              </w:rPr>
              <w:t>行政事业性收费</w:t>
            </w:r>
          </w:p>
        </w:tc>
        <w:tc>
          <w:tcPr>
            <w:tcW w:w="7044"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firstLine="400"/>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今年我局没有行政事业性收费，如有一律按标准执行。</w:t>
            </w:r>
          </w:p>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bl>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eastAsia" w:ascii="黑体" w:hAnsi="宋体" w:eastAsia="黑体" w:cs="黑体"/>
          <w:b/>
          <w:bCs/>
          <w:color w:val="333333"/>
          <w:sz w:val="32"/>
          <w:szCs w:val="32"/>
        </w:rPr>
        <w:t>三、收到和处理政府信息公开申请情况</w:t>
      </w:r>
    </w:p>
    <w:tbl>
      <w:tblPr>
        <w:tblW w:w="9372"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57"/>
        <w:gridCol w:w="684"/>
        <w:gridCol w:w="2016"/>
        <w:gridCol w:w="672"/>
        <w:gridCol w:w="611"/>
        <w:gridCol w:w="588"/>
        <w:gridCol w:w="599"/>
        <w:gridCol w:w="587"/>
        <w:gridCol w:w="502"/>
        <w:gridCol w:w="2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5" w:hRule="atLeast"/>
        </w:trPr>
        <w:tc>
          <w:tcPr>
            <w:tcW w:w="3408" w:type="dxa"/>
            <w:gridSpan w:val="3"/>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4"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6" w:lineRule="atLeast"/>
              <w:ind w:left="108" w:right="87"/>
              <w:jc w:val="left"/>
              <w:rPr>
                <w:rFonts w:hint="eastAsia" w:ascii="宋体" w:hAnsi="宋体" w:eastAsia="宋体" w:cs="宋体"/>
                <w:sz w:val="21"/>
                <w:szCs w:val="21"/>
              </w:rPr>
            </w:pPr>
            <w:r>
              <w:rPr>
                <w:rFonts w:hint="eastAsia" w:ascii="楷体" w:hAnsi="楷体" w:eastAsia="楷体" w:cs="楷体"/>
                <w:sz w:val="20"/>
                <w:szCs w:val="20"/>
              </w:rPr>
              <w:t>（</w:t>
            </w:r>
            <w:r>
              <w:rPr>
                <w:rFonts w:hint="eastAsia" w:ascii="楷体" w:hAnsi="楷体" w:eastAsia="楷体" w:cs="楷体"/>
                <w:spacing w:val="-6"/>
                <w:sz w:val="20"/>
                <w:szCs w:val="20"/>
              </w:rPr>
              <w:t>本列数据的勾稽关系为：第一项加第二项之和，等于 第三项加第四项之和）</w:t>
            </w:r>
          </w:p>
        </w:tc>
        <w:tc>
          <w:tcPr>
            <w:tcW w:w="5976" w:type="dxa"/>
            <w:gridSpan w:val="7"/>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1885" w:right="1871"/>
              <w:jc w:val="left"/>
              <w:rPr>
                <w:rFonts w:hint="eastAsia" w:ascii="宋体" w:hAnsi="宋体" w:eastAsia="宋体" w:cs="宋体"/>
                <w:sz w:val="21"/>
                <w:szCs w:val="21"/>
              </w:rPr>
            </w:pPr>
            <w:r>
              <w:rPr>
                <w:rFonts w:hint="eastAsia" w:ascii="宋体" w:hAnsi="宋体" w:eastAsia="宋体" w:cs="宋体"/>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5" w:hRule="atLeast"/>
        </w:trPr>
        <w:tc>
          <w:tcPr>
            <w:tcW w:w="3408" w:type="dxa"/>
            <w:gridSpan w:val="3"/>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636"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243" w:right="125" w:hanging="101"/>
              <w:jc w:val="left"/>
              <w:rPr>
                <w:rFonts w:hint="eastAsia" w:ascii="宋体" w:hAnsi="宋体" w:eastAsia="宋体" w:cs="宋体"/>
                <w:sz w:val="21"/>
                <w:szCs w:val="21"/>
              </w:rPr>
            </w:pPr>
            <w:r>
              <w:rPr>
                <w:rFonts w:hint="eastAsia" w:ascii="宋体" w:hAnsi="宋体" w:eastAsia="宋体" w:cs="宋体"/>
                <w:sz w:val="20"/>
                <w:szCs w:val="20"/>
              </w:rPr>
              <w:t>自然人</w:t>
            </w:r>
          </w:p>
        </w:tc>
        <w:tc>
          <w:tcPr>
            <w:tcW w:w="2832" w:type="dxa"/>
            <w:gridSpan w:val="5"/>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1019" w:right="0"/>
              <w:jc w:val="left"/>
              <w:rPr>
                <w:rFonts w:hint="eastAsia" w:ascii="宋体" w:hAnsi="宋体" w:eastAsia="宋体" w:cs="宋体"/>
                <w:sz w:val="21"/>
                <w:szCs w:val="21"/>
              </w:rPr>
            </w:pPr>
            <w:r>
              <w:rPr>
                <w:rFonts w:hint="eastAsia" w:ascii="宋体" w:hAnsi="宋体" w:eastAsia="宋体" w:cs="宋体"/>
                <w:sz w:val="20"/>
                <w:szCs w:val="20"/>
              </w:rPr>
              <w:t>法人或其他组织</w:t>
            </w:r>
          </w:p>
        </w:tc>
        <w:tc>
          <w:tcPr>
            <w:tcW w:w="2508"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6"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ind w:left="142" w:right="0"/>
              <w:jc w:val="left"/>
              <w:rPr>
                <w:rFonts w:hint="eastAsia" w:ascii="宋体" w:hAnsi="宋体" w:eastAsia="宋体" w:cs="宋体"/>
                <w:sz w:val="21"/>
                <w:szCs w:val="21"/>
              </w:rP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28" w:hRule="atLeast"/>
        </w:trPr>
        <w:tc>
          <w:tcPr>
            <w:tcW w:w="3408" w:type="dxa"/>
            <w:gridSpan w:val="3"/>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63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143" w:right="124"/>
              <w:jc w:val="left"/>
              <w:rPr>
                <w:rFonts w:hint="eastAsia" w:ascii="宋体" w:hAnsi="宋体" w:eastAsia="宋体" w:cs="宋体"/>
                <w:sz w:val="21"/>
                <w:szCs w:val="21"/>
              </w:rPr>
            </w:pPr>
            <w:r>
              <w:rPr>
                <w:rFonts w:hint="eastAsia" w:ascii="宋体" w:hAnsi="宋体" w:eastAsia="宋体" w:cs="宋体"/>
                <w:sz w:val="20"/>
                <w:szCs w:val="20"/>
              </w:rPr>
              <w:t>商业企业</w:t>
            </w:r>
          </w:p>
        </w:tc>
        <w:tc>
          <w:tcPr>
            <w:tcW w:w="576"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144" w:right="123"/>
              <w:jc w:val="left"/>
              <w:rPr>
                <w:rFonts w:hint="eastAsia" w:ascii="宋体" w:hAnsi="宋体" w:eastAsia="宋体" w:cs="宋体"/>
                <w:sz w:val="21"/>
                <w:szCs w:val="21"/>
              </w:rPr>
            </w:pPr>
            <w:r>
              <w:rPr>
                <w:rFonts w:hint="eastAsia" w:ascii="宋体" w:hAnsi="宋体" w:eastAsia="宋体" w:cs="宋体"/>
                <w:sz w:val="20"/>
                <w:szCs w:val="20"/>
              </w:rPr>
              <w:t>科研机构</w:t>
            </w:r>
          </w:p>
        </w:tc>
        <w:tc>
          <w:tcPr>
            <w:tcW w:w="588"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line="15" w:lineRule="atLeast"/>
              <w:ind w:left="142" w:right="125"/>
              <w:jc w:val="left"/>
              <w:rPr>
                <w:rFonts w:hint="eastAsia" w:ascii="宋体" w:hAnsi="宋体" w:eastAsia="宋体" w:cs="宋体"/>
                <w:sz w:val="21"/>
                <w:szCs w:val="21"/>
              </w:rPr>
            </w:pPr>
            <w:r>
              <w:rPr>
                <w:rFonts w:hint="eastAsia" w:ascii="宋体" w:hAnsi="宋体" w:eastAsia="宋体" w:cs="宋体"/>
                <w:spacing w:val="-9"/>
                <w:sz w:val="20"/>
                <w:szCs w:val="20"/>
              </w:rPr>
              <w:t>社会公益</w:t>
            </w:r>
          </w:p>
          <w:p>
            <w:pPr>
              <w:pStyle w:val="2"/>
              <w:keepNext w:val="0"/>
              <w:keepLines w:val="0"/>
              <w:widowControl/>
              <w:suppressLineNumbers w:val="0"/>
              <w:spacing w:before="28" w:beforeAutospacing="0" w:after="0" w:afterAutospacing="0" w:line="15" w:lineRule="atLeast"/>
              <w:ind w:left="142" w:right="125"/>
              <w:jc w:val="left"/>
              <w:rPr>
                <w:rFonts w:hint="eastAsia" w:ascii="宋体" w:hAnsi="宋体" w:eastAsia="宋体" w:cs="宋体"/>
                <w:sz w:val="21"/>
                <w:szCs w:val="21"/>
              </w:rPr>
            </w:pPr>
            <w:r>
              <w:rPr>
                <w:rFonts w:hint="eastAsia" w:ascii="宋体" w:hAnsi="宋体" w:eastAsia="宋体" w:cs="宋体"/>
                <w:spacing w:val="-9"/>
                <w:sz w:val="20"/>
                <w:szCs w:val="20"/>
              </w:rPr>
              <w:t>组织</w:t>
            </w:r>
          </w:p>
        </w:tc>
        <w:tc>
          <w:tcPr>
            <w:tcW w:w="576"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line="15" w:lineRule="atLeast"/>
              <w:ind w:left="143" w:right="124"/>
              <w:jc w:val="left"/>
              <w:rPr>
                <w:rFonts w:hint="eastAsia" w:ascii="宋体" w:hAnsi="宋体" w:eastAsia="宋体" w:cs="宋体"/>
                <w:sz w:val="21"/>
                <w:szCs w:val="21"/>
              </w:rPr>
            </w:pPr>
            <w:r>
              <w:rPr>
                <w:rFonts w:hint="eastAsia" w:ascii="宋体" w:hAnsi="宋体" w:eastAsia="宋体" w:cs="宋体"/>
                <w:spacing w:val="-9"/>
                <w:sz w:val="20"/>
                <w:szCs w:val="20"/>
              </w:rPr>
              <w:t>法律服务</w:t>
            </w:r>
          </w:p>
          <w:p>
            <w:pPr>
              <w:pStyle w:val="2"/>
              <w:keepNext w:val="0"/>
              <w:keepLines w:val="0"/>
              <w:widowControl/>
              <w:suppressLineNumbers w:val="0"/>
              <w:spacing w:before="28" w:beforeAutospacing="0" w:after="0" w:afterAutospacing="0" w:line="15" w:lineRule="atLeast"/>
              <w:ind w:left="143" w:right="124"/>
              <w:jc w:val="left"/>
              <w:rPr>
                <w:rFonts w:hint="eastAsia" w:ascii="宋体" w:hAnsi="宋体" w:eastAsia="宋体" w:cs="宋体"/>
                <w:sz w:val="21"/>
                <w:szCs w:val="21"/>
              </w:rPr>
            </w:pPr>
            <w:r>
              <w:rPr>
                <w:rFonts w:hint="eastAsia" w:ascii="宋体" w:hAnsi="宋体" w:eastAsia="宋体" w:cs="宋体"/>
                <w:spacing w:val="-9"/>
                <w:sz w:val="20"/>
                <w:szCs w:val="20"/>
              </w:rPr>
              <w:t>机构</w:t>
            </w:r>
          </w:p>
        </w:tc>
        <w:tc>
          <w:tcPr>
            <w:tcW w:w="50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1" w:beforeAutospacing="0" w:after="0" w:afterAutospacing="0"/>
              <w:ind w:left="144" w:right="0"/>
              <w:jc w:val="left"/>
              <w:rPr>
                <w:rFonts w:hint="eastAsia" w:ascii="宋体" w:hAnsi="宋体" w:eastAsia="宋体" w:cs="宋体"/>
                <w:sz w:val="21"/>
                <w:szCs w:val="21"/>
              </w:rPr>
            </w:pPr>
            <w:r>
              <w:rPr>
                <w:rFonts w:hint="eastAsia" w:ascii="宋体" w:hAnsi="宋体" w:eastAsia="宋体" w:cs="宋体"/>
                <w:sz w:val="20"/>
                <w:szCs w:val="20"/>
              </w:rPr>
              <w:t>其他</w:t>
            </w:r>
          </w:p>
        </w:tc>
        <w:tc>
          <w:tcPr>
            <w:tcW w:w="2508"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3360"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5" w:right="0"/>
              <w:jc w:val="left"/>
              <w:rPr>
                <w:rFonts w:hint="eastAsia" w:ascii="宋体" w:hAnsi="宋体" w:eastAsia="宋体" w:cs="宋体"/>
                <w:sz w:val="21"/>
                <w:szCs w:val="21"/>
              </w:rPr>
            </w:pPr>
            <w:r>
              <w:rPr>
                <w:rFonts w:hint="eastAsia" w:ascii="宋体" w:hAnsi="宋体" w:eastAsia="宋体" w:cs="宋体"/>
                <w:sz w:val="20"/>
                <w:szCs w:val="20"/>
              </w:rPr>
              <w:t>一、本年新收政府信息公开申请数量</w:t>
            </w:r>
          </w:p>
        </w:tc>
        <w:tc>
          <w:tcPr>
            <w:tcW w:w="64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rPr>
        <w:tc>
          <w:tcPr>
            <w:tcW w:w="3312"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5" w:right="0"/>
              <w:jc w:val="left"/>
              <w:rPr>
                <w:rFonts w:hint="eastAsia" w:ascii="宋体" w:hAnsi="宋体" w:eastAsia="宋体" w:cs="宋体"/>
                <w:sz w:val="21"/>
                <w:szCs w:val="21"/>
              </w:rPr>
            </w:pPr>
            <w:r>
              <w:rPr>
                <w:rFonts w:hint="eastAsia" w:ascii="宋体" w:hAnsi="宋体" w:eastAsia="宋体" w:cs="宋体"/>
                <w:sz w:val="20"/>
                <w:szCs w:val="20"/>
              </w:rPr>
              <w:t>二、上年结转政府信息公开申请数量</w:t>
            </w:r>
          </w:p>
        </w:tc>
        <w:tc>
          <w:tcPr>
            <w:tcW w:w="66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6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3" w:hRule="atLeast"/>
        </w:trPr>
        <w:tc>
          <w:tcPr>
            <w:tcW w:w="660"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12"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55" w:right="89"/>
              <w:jc w:val="left"/>
              <w:rPr>
                <w:rFonts w:hint="eastAsia" w:ascii="宋体" w:hAnsi="宋体" w:eastAsia="宋体" w:cs="宋体"/>
                <w:sz w:val="21"/>
                <w:szCs w:val="21"/>
              </w:rPr>
            </w:pPr>
            <w:r>
              <w:rPr>
                <w:rFonts w:hint="eastAsia" w:ascii="宋体" w:hAnsi="宋体" w:eastAsia="宋体" w:cs="宋体"/>
                <w:sz w:val="20"/>
                <w:szCs w:val="20"/>
              </w:rPr>
              <w:t>三、本年度办理结果</w:t>
            </w:r>
          </w:p>
        </w:tc>
        <w:tc>
          <w:tcPr>
            <w:tcW w:w="2652" w:type="dxa"/>
            <w:gridSpan w:val="2"/>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（一）予以公开</w:t>
            </w:r>
          </w:p>
        </w:tc>
        <w:tc>
          <w:tcPr>
            <w:tcW w:w="6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17" w:hRule="atLeast"/>
        </w:trPr>
        <w:tc>
          <w:tcPr>
            <w:tcW w:w="66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640" w:type="dxa"/>
            <w:gridSpan w:val="2"/>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6" w:right="-72"/>
              <w:jc w:val="left"/>
              <w:rPr>
                <w:rFonts w:hint="eastAsia" w:ascii="宋体" w:hAnsi="宋体" w:eastAsia="宋体" w:cs="宋体"/>
                <w:sz w:val="21"/>
                <w:szCs w:val="21"/>
              </w:rPr>
            </w:pPr>
            <w:r>
              <w:rPr>
                <w:rFonts w:hint="eastAsia" w:ascii="宋体" w:hAnsi="宋体" w:eastAsia="宋体" w:cs="宋体"/>
                <w:sz w:val="20"/>
                <w:szCs w:val="20"/>
              </w:rPr>
              <w:t>（二</w:t>
            </w:r>
            <w:r>
              <w:rPr>
                <w:rFonts w:hint="eastAsia" w:ascii="宋体" w:hAnsi="宋体" w:eastAsia="宋体" w:cs="宋体"/>
                <w:spacing w:val="-17"/>
                <w:sz w:val="20"/>
                <w:szCs w:val="20"/>
              </w:rPr>
              <w:t>）</w:t>
            </w:r>
            <w:r>
              <w:rPr>
                <w:rFonts w:hint="eastAsia" w:ascii="宋体" w:hAnsi="宋体" w:eastAsia="宋体" w:cs="宋体"/>
                <w:spacing w:val="-5"/>
                <w:sz w:val="20"/>
                <w:szCs w:val="20"/>
              </w:rPr>
              <w:t>部分公开（区分处理的，只计这一情形，</w:t>
            </w:r>
          </w:p>
          <w:p>
            <w:pPr>
              <w:pStyle w:val="2"/>
              <w:keepNext w:val="0"/>
              <w:keepLines w:val="0"/>
              <w:widowControl/>
              <w:suppressLineNumbers w:val="0"/>
              <w:spacing w:before="27" w:beforeAutospacing="0" w:after="0" w:afterAutospacing="0"/>
              <w:ind w:left="56" w:right="-72"/>
              <w:jc w:val="left"/>
              <w:rPr>
                <w:rFonts w:hint="eastAsia" w:ascii="宋体" w:hAnsi="宋体" w:eastAsia="宋体" w:cs="宋体"/>
                <w:sz w:val="21"/>
                <w:szCs w:val="21"/>
              </w:rPr>
            </w:pPr>
            <w:r>
              <w:rPr>
                <w:rFonts w:hint="eastAsia" w:ascii="宋体" w:hAnsi="宋体" w:eastAsia="宋体" w:cs="宋体"/>
                <w:spacing w:val="-5"/>
                <w:sz w:val="20"/>
                <w:szCs w:val="20"/>
              </w:rPr>
              <w:t>不计其他情形）</w:t>
            </w:r>
          </w:p>
        </w:tc>
        <w:tc>
          <w:tcPr>
            <w:tcW w:w="6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6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5" w:hRule="atLeast"/>
        </w:trPr>
        <w:tc>
          <w:tcPr>
            <w:tcW w:w="66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684"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3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（三）不</w:t>
            </w:r>
          </w:p>
          <w:p>
            <w:pPr>
              <w:pStyle w:val="2"/>
              <w:keepNext w:val="0"/>
              <w:keepLines w:val="0"/>
              <w:widowControl/>
              <w:suppressLineNumbers w:val="0"/>
              <w:spacing w:before="56"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予公开</w:t>
            </w:r>
          </w:p>
        </w:tc>
        <w:tc>
          <w:tcPr>
            <w:tcW w:w="1956"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1.属于国家秘密</w:t>
            </w:r>
          </w:p>
        </w:tc>
        <w:tc>
          <w:tcPr>
            <w:tcW w:w="6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9" w:hRule="atLeast"/>
        </w:trPr>
        <w:tc>
          <w:tcPr>
            <w:tcW w:w="66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68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19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2.其他法律行政法规禁止公开</w:t>
            </w:r>
          </w:p>
        </w:tc>
        <w:tc>
          <w:tcPr>
            <w:tcW w:w="6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1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60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8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47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bl>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rPr>
        <w:t> </w:t>
      </w:r>
    </w:p>
    <w:tbl>
      <w:tblPr>
        <w:tblW w:w="9396" w:type="dxa"/>
        <w:tblInd w:w="1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24"/>
        <w:gridCol w:w="876"/>
        <w:gridCol w:w="2280"/>
        <w:gridCol w:w="504"/>
        <w:gridCol w:w="504"/>
        <w:gridCol w:w="504"/>
        <w:gridCol w:w="504"/>
        <w:gridCol w:w="504"/>
        <w:gridCol w:w="504"/>
        <w:gridCol w:w="2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73" w:hRule="atLeast"/>
        </w:trPr>
        <w:tc>
          <w:tcPr>
            <w:tcW w:w="624"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840"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22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4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3.危及“三安全一稳定”</w:t>
            </w:r>
          </w:p>
        </w:tc>
        <w:tc>
          <w:tcPr>
            <w:tcW w:w="4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4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4.保护第三方合法权益</w:t>
            </w:r>
          </w:p>
        </w:tc>
        <w:tc>
          <w:tcPr>
            <w:tcW w:w="4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4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6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5.属于三类内部事务信息</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4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6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9"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6.属于四类过程性信息</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4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6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7.属于行政执法案卷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40"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68"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8.属于行政查询事项</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52"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12"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56" w:right="65"/>
              <w:jc w:val="left"/>
              <w:rPr>
                <w:rFonts w:hint="eastAsia" w:ascii="宋体" w:hAnsi="宋体" w:eastAsia="宋体" w:cs="宋体"/>
                <w:sz w:val="21"/>
                <w:szCs w:val="21"/>
              </w:rPr>
            </w:pPr>
            <w:r>
              <w:rPr>
                <w:rFonts w:hint="eastAsia" w:ascii="宋体" w:hAnsi="宋体" w:eastAsia="宋体" w:cs="宋体"/>
                <w:sz w:val="20"/>
                <w:szCs w:val="20"/>
              </w:rPr>
              <w:t>（四）无法提供</w:t>
            </w:r>
          </w:p>
        </w:tc>
        <w:tc>
          <w:tcPr>
            <w:tcW w:w="2256"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9"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1.本机关不掌握相关政府信息</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52"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56"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2.没有现成信息需要另行制作</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7"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52"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56"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3.补正后申请内容仍不明确</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92"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64"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12"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56" w:right="65"/>
              <w:jc w:val="left"/>
              <w:rPr>
                <w:rFonts w:hint="eastAsia" w:ascii="宋体" w:hAnsi="宋体" w:eastAsia="宋体" w:cs="宋体"/>
                <w:sz w:val="21"/>
                <w:szCs w:val="21"/>
              </w:rPr>
            </w:pPr>
            <w:r>
              <w:rPr>
                <w:rFonts w:hint="eastAsia" w:ascii="宋体" w:hAnsi="宋体" w:eastAsia="宋体" w:cs="宋体"/>
                <w:sz w:val="20"/>
                <w:szCs w:val="20"/>
              </w:rPr>
              <w:t>（五）不予处理</w:t>
            </w: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9"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1.信访举报投诉类申请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6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2.重复申请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6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3.要求提供公开出版物</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6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9"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4.无正当理由大量反复申请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05"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6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105" w:beforeAutospacing="0" w:after="0" w:afterAutospacing="0" w:line="15" w:lineRule="atLeast"/>
              <w:ind w:left="56" w:right="37"/>
              <w:jc w:val="left"/>
              <w:rPr>
                <w:rFonts w:hint="eastAsia" w:ascii="宋体" w:hAnsi="宋体" w:eastAsia="宋体" w:cs="宋体"/>
                <w:sz w:val="21"/>
                <w:szCs w:val="21"/>
              </w:rPr>
            </w:pPr>
            <w:r>
              <w:rPr>
                <w:rFonts w:hint="eastAsia" w:ascii="宋体" w:hAnsi="宋体" w:eastAsia="宋体" w:cs="宋体"/>
                <w:sz w:val="20"/>
                <w:szCs w:val="20"/>
              </w:rPr>
              <w:t>5.要求行政机关确认或重新出具已获取信息</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93"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76"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7"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15" w:lineRule="atLeast"/>
              <w:ind w:left="56" w:right="65"/>
              <w:jc w:val="left"/>
              <w:rPr>
                <w:rFonts w:hint="eastAsia" w:ascii="宋体" w:hAnsi="宋体" w:eastAsia="宋体" w:cs="宋体"/>
                <w:sz w:val="21"/>
                <w:szCs w:val="21"/>
              </w:rPr>
            </w:pPr>
            <w:r>
              <w:rPr>
                <w:rFonts w:hint="eastAsia" w:ascii="宋体" w:hAnsi="宋体" w:eastAsia="宋体" w:cs="宋体"/>
                <w:sz w:val="20"/>
                <w:szCs w:val="20"/>
              </w:rPr>
              <w:t>（六）其他处理</w:t>
            </w: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line="15" w:lineRule="atLeast"/>
              <w:ind w:left="56" w:right="37"/>
              <w:jc w:val="left"/>
              <w:rPr>
                <w:rFonts w:hint="eastAsia" w:ascii="宋体" w:hAnsi="宋体" w:eastAsia="宋体" w:cs="宋体"/>
                <w:sz w:val="21"/>
                <w:szCs w:val="21"/>
              </w:rPr>
            </w:pPr>
            <w:r>
              <w:rPr>
                <w:rFonts w:hint="eastAsia" w:ascii="宋体" w:hAnsi="宋体" w:eastAsia="宋体" w:cs="宋体"/>
                <w:spacing w:val="-8"/>
                <w:sz w:val="20"/>
                <w:szCs w:val="20"/>
              </w:rPr>
              <w:t>1.申请人无正当理由逾期不补正、行 政机关不再处理其政府信息公开申请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61"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7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line="15" w:lineRule="atLeast"/>
              <w:ind w:left="56" w:right="35"/>
              <w:jc w:val="left"/>
              <w:rPr>
                <w:rFonts w:hint="eastAsia" w:ascii="宋体" w:hAnsi="宋体" w:eastAsia="宋体" w:cs="宋体"/>
                <w:sz w:val="21"/>
                <w:szCs w:val="21"/>
              </w:rPr>
            </w:pPr>
            <w:r>
              <w:rPr>
                <w:rFonts w:hint="eastAsia" w:ascii="宋体" w:hAnsi="宋体" w:eastAsia="宋体" w:cs="宋体"/>
                <w:sz w:val="20"/>
                <w:szCs w:val="20"/>
              </w:rPr>
              <w:t>2.申请人逾期未按收费通知要缴纳费用</w:t>
            </w:r>
            <w:r>
              <w:rPr>
                <w:rFonts w:hint="eastAsia" w:ascii="宋体" w:hAnsi="宋体" w:eastAsia="宋体" w:cs="宋体"/>
                <w:spacing w:val="-10"/>
                <w:sz w:val="20"/>
                <w:szCs w:val="20"/>
              </w:rPr>
              <w:t>、行政机关不再处理其政府信</w:t>
            </w:r>
          </w:p>
          <w:p>
            <w:pPr>
              <w:pStyle w:val="2"/>
              <w:keepNext w:val="0"/>
              <w:keepLines w:val="0"/>
              <w:widowControl/>
              <w:suppressLineNumbers w:val="0"/>
              <w:spacing w:before="0" w:beforeAutospacing="0" w:after="0" w:afterAutospacing="0" w:line="255" w:lineRule="atLeast"/>
              <w:ind w:left="56" w:right="0"/>
              <w:jc w:val="left"/>
              <w:rPr>
                <w:rFonts w:hint="eastAsia" w:ascii="宋体" w:hAnsi="宋体" w:eastAsia="宋体" w:cs="宋体"/>
                <w:sz w:val="21"/>
                <w:szCs w:val="21"/>
              </w:rPr>
            </w:pPr>
            <w:r>
              <w:rPr>
                <w:rFonts w:hint="eastAsia" w:ascii="宋体" w:hAnsi="宋体" w:eastAsia="宋体" w:cs="宋体"/>
                <w:sz w:val="20"/>
                <w:szCs w:val="20"/>
              </w:rPr>
              <w:t>息公开申请</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87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224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9"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3.其他</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624"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jc w:val="left"/>
              <w:rPr>
                <w:rFonts w:hint="default" w:ascii="Times New Roman" w:hAnsi="Times New Roman" w:cs="Times New Roman"/>
                <w:sz w:val="20"/>
                <w:szCs w:val="20"/>
              </w:rPr>
            </w:pPr>
          </w:p>
        </w:tc>
        <w:tc>
          <w:tcPr>
            <w:tcW w:w="3132" w:type="dxa"/>
            <w:gridSpan w:val="2"/>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8" w:beforeAutospacing="0" w:after="0" w:afterAutospacing="0"/>
              <w:ind w:left="56" w:right="0"/>
              <w:jc w:val="left"/>
              <w:rPr>
                <w:rFonts w:hint="eastAsia" w:ascii="宋体" w:hAnsi="宋体" w:eastAsia="宋体" w:cs="宋体"/>
                <w:sz w:val="21"/>
                <w:szCs w:val="21"/>
              </w:rPr>
            </w:pPr>
            <w:r>
              <w:rPr>
                <w:rFonts w:hint="eastAsia" w:ascii="宋体" w:hAnsi="宋体" w:eastAsia="宋体" w:cs="宋体"/>
                <w:sz w:val="20"/>
                <w:szCs w:val="20"/>
              </w:rPr>
              <w:t>（七）总计</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08" w:hRule="atLeast"/>
        </w:trPr>
        <w:tc>
          <w:tcPr>
            <w:tcW w:w="3756"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27" w:beforeAutospacing="0" w:after="0" w:afterAutospacing="0"/>
              <w:ind w:left="55" w:right="0"/>
              <w:jc w:val="left"/>
              <w:rPr>
                <w:rFonts w:hint="eastAsia" w:ascii="宋体" w:hAnsi="宋体" w:eastAsia="宋体" w:cs="宋体"/>
                <w:sz w:val="21"/>
                <w:szCs w:val="21"/>
              </w:rPr>
            </w:pPr>
            <w:r>
              <w:rPr>
                <w:rFonts w:hint="eastAsia" w:ascii="宋体" w:hAnsi="宋体" w:eastAsia="宋体" w:cs="宋体"/>
                <w:sz w:val="20"/>
                <w:szCs w:val="20"/>
              </w:rPr>
              <w:t> 四、结转下年度继续办理</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504"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c>
          <w:tcPr>
            <w:tcW w:w="2580"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top"/>
          </w:tcPr>
          <w:p>
            <w:pPr>
              <w:pStyle w:val="2"/>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default" w:ascii="Times New Roman" w:hAnsi="Times New Roman" w:eastAsia="宋体" w:cs="Times New Roman"/>
                <w:sz w:val="20"/>
                <w:szCs w:val="20"/>
              </w:rPr>
              <w:t>0</w:t>
            </w:r>
          </w:p>
        </w:tc>
      </w:tr>
    </w:tbl>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eastAsia" w:ascii="黑体" w:hAnsi="宋体" w:eastAsia="黑体" w:cs="黑体"/>
          <w:b/>
          <w:bCs/>
          <w:color w:val="333333"/>
          <w:sz w:val="32"/>
          <w:szCs w:val="32"/>
        </w:rPr>
        <w:t>                    </w:t>
      </w:r>
    </w:p>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p>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黑体" w:hAnsi="宋体" w:eastAsia="黑体" w:cs="黑体"/>
          <w:b/>
          <w:bCs/>
          <w:color w:val="333333"/>
          <w:sz w:val="32"/>
          <w:szCs w:val="32"/>
        </w:rPr>
        <w:t>    四、政府信息公开行政复议、行政诉讼情况</w:t>
      </w:r>
    </w:p>
    <w:tbl>
      <w:tblPr>
        <w:tblW w:w="9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6"/>
        <w:gridCol w:w="416"/>
        <w:gridCol w:w="416"/>
        <w:gridCol w:w="416"/>
        <w:gridCol w:w="877"/>
        <w:gridCol w:w="416"/>
        <w:gridCol w:w="416"/>
        <w:gridCol w:w="416"/>
        <w:gridCol w:w="416"/>
        <w:gridCol w:w="838"/>
        <w:gridCol w:w="416"/>
        <w:gridCol w:w="416"/>
        <w:gridCol w:w="416"/>
        <w:gridCol w:w="416"/>
        <w:gridCol w:w="2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17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行政复议</w:t>
            </w:r>
          </w:p>
        </w:tc>
        <w:tc>
          <w:tcPr>
            <w:tcW w:w="6984"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8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3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30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30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32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222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4596"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04" w:hRule="atLeast"/>
          <w:jc w:val="center"/>
        </w:trPr>
        <w:tc>
          <w:tcPr>
            <w:tcW w:w="2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0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0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2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3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3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32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32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32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33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33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其他结果</w:t>
            </w:r>
          </w:p>
        </w:tc>
        <w:tc>
          <w:tcPr>
            <w:tcW w:w="34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25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8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3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100" w:beforeAutospacing="0" w:after="180" w:afterAutospacing="0" w:line="24" w:lineRule="atLeast"/>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c>
          <w:tcPr>
            <w:tcW w:w="2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333333"/>
                <w:sz w:val="20"/>
                <w:szCs w:val="20"/>
              </w:rPr>
              <w:t>0</w:t>
            </w:r>
          </w:p>
        </w:tc>
      </w:tr>
    </w:tbl>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eastAsia" w:ascii="黑体" w:hAnsi="宋体" w:eastAsia="黑体" w:cs="黑体"/>
          <w:b/>
          <w:bCs/>
          <w:color w:val="333333"/>
          <w:sz w:val="32"/>
          <w:szCs w:val="32"/>
        </w:rPr>
        <w:t>五、存在的主要问题及改进情况</w:t>
      </w:r>
    </w:p>
    <w:p>
      <w:pPr>
        <w:pStyle w:val="2"/>
        <w:keepNext w:val="0"/>
        <w:keepLines w:val="0"/>
        <w:widowControl/>
        <w:suppressLineNumbers w:val="0"/>
        <w:spacing w:before="0" w:beforeAutospacing="0" w:after="226" w:afterAutospacing="0" w:line="560" w:lineRule="atLeast"/>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    我局2021年度在政府信息公开工作存在主要问题；</w:t>
      </w:r>
    </w:p>
    <w:p>
      <w:pPr>
        <w:pStyle w:val="2"/>
        <w:keepNext w:val="0"/>
        <w:keepLines w:val="0"/>
        <w:widowControl/>
        <w:suppressLineNumbers w:val="0"/>
        <w:spacing w:before="0" w:beforeAutospacing="0" w:after="226" w:afterAutospacing="0" w:line="560" w:lineRule="atLeast"/>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    一是公开平台建设还不够完善，需要进一步扩建；其主要表现在公开方式单一，主要依据集约化平台，没有建立我局专设的信息平台。</w:t>
      </w:r>
    </w:p>
    <w:p>
      <w:pPr>
        <w:pStyle w:val="2"/>
        <w:keepNext w:val="0"/>
        <w:keepLines w:val="0"/>
        <w:widowControl/>
        <w:suppressLineNumbers w:val="0"/>
        <w:spacing w:before="0" w:beforeAutospacing="0" w:after="226" w:afterAutospacing="0" w:line="560" w:lineRule="atLeast"/>
        <w:ind w:left="0" w:firstLine="640"/>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二是公开机制不够全面，需要进一步加强；其主要表现在日常维护，和信息更新时限上与要求还存在一定的差距。没有及时更新系统上各股室相关政策文件，对政策解读也没有采取多种方式进行解读，简单文字解读，没有新颖的方式。</w:t>
      </w:r>
    </w:p>
    <w:p>
      <w:pPr>
        <w:pStyle w:val="2"/>
        <w:keepNext w:val="0"/>
        <w:keepLines w:val="0"/>
        <w:widowControl/>
        <w:suppressLineNumbers w:val="0"/>
        <w:spacing w:before="0" w:beforeAutospacing="0" w:after="226" w:afterAutospacing="0" w:line="560" w:lineRule="atLeast"/>
        <w:ind w:left="0" w:firstLine="640"/>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三是政务公开工作要进一步细化，责任要进一步明确。其主要存在政务公开领导小组监督力度不够，人员分工不明，没有专业的技术人员，经办人员专业知识不够，对政务公开工作相关业务不够精通，导致信息公开质量不高。</w:t>
      </w:r>
    </w:p>
    <w:p>
      <w:pPr>
        <w:pStyle w:val="2"/>
        <w:keepNext w:val="0"/>
        <w:keepLines w:val="0"/>
        <w:widowControl/>
        <w:suppressLineNumbers w:val="0"/>
        <w:spacing w:before="0" w:beforeAutospacing="0" w:after="226" w:afterAutospacing="0" w:line="560" w:lineRule="atLeast"/>
        <w:ind w:left="0" w:firstLine="640"/>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针对2021年来我局在政务公开上存在的问题，我们将在下步工作中整改如下：</w:t>
      </w:r>
    </w:p>
    <w:p>
      <w:pPr>
        <w:pStyle w:val="2"/>
        <w:keepNext w:val="0"/>
        <w:keepLines w:val="0"/>
        <w:widowControl/>
        <w:suppressLineNumbers w:val="0"/>
        <w:spacing w:before="0" w:beforeAutospacing="0" w:after="226" w:afterAutospacing="0" w:line="560" w:lineRule="atLeast"/>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　　一是建立与区政务中心齐抓公开平台建设，严把信息主动公开质量。采取多种方式构建平台建设，以集约化平台为主，同时在城市大脑平台上提供相关信息，和相关文件，供区直单位资源共享。按照国务院办公厅有关要求，结合我局工作实际情况，下步将重点领域延伸扩展及时提供相关政策文件供广大群众和退役军人查阅。对信息公开要做到“应公开、尽公开”，按照《条例》和《指南》要求，进一步规范局官方网站建设工作，加强主动公开信息的管理和维护，发挥好网站作为政府信息公开第一平台的作用，向广大退役军人和群众提供更加及时准确的政府信息和更优质的服务保障。</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二是不断探索增加公开内容，完善发布解读效果，提升群众满意度。在做好法定主动公开有关工作同时，按照《条例》第二十二条要求，针对群众和退役军人关切问题，我局下步将退役安置、双拥“拥政爱民，拥军优属”、创业就业、技能培训、军人保障法、权利维护、政策咨询、法律援助、党员转接、办理伤、病、残等优抚政策，及时通过平台、公众号等方式向社会公示公开，真正做到民拥军，军爱民。特别是将政策解读以采取多种方式，如制作动漫，数字解读，制作小视频等进行公示公布，让广大群众更容易掌握了解，更容接受，通过了解政策切实维护好自身的合法权益。发挥主观能动性，不断丰富主动公开内容，满足退役士兵和群众对政府信息的需求。及时传达上级政策文件，并做好解读，和跟踪回访工作，同时，对涉及公众利益调整、财务预算，政务采购等领域，需要公众广泛知晓或需要公众参与决策的法规政策类信息，加强宣传解读，做到及时公布公示，充分发挥群众监督保障作用。</w:t>
      </w:r>
    </w:p>
    <w:p>
      <w:pPr>
        <w:pStyle w:val="2"/>
        <w:keepNext w:val="0"/>
        <w:keepLines w:val="0"/>
        <w:widowControl/>
        <w:suppressLineNumbers w:val="0"/>
        <w:spacing w:before="0" w:beforeAutospacing="0" w:after="226" w:afterAutospacing="0" w:line="560" w:lineRule="atLeast"/>
        <w:jc w:val="left"/>
        <w:textAlignment w:val="baseline"/>
        <w:rPr>
          <w:rFonts w:hint="eastAsia" w:ascii="宋体" w:hAnsi="宋体" w:eastAsia="宋体" w:cs="宋体"/>
          <w:sz w:val="24"/>
          <w:szCs w:val="24"/>
        </w:rPr>
      </w:pPr>
      <w:r>
        <w:rPr>
          <w:rFonts w:hint="eastAsia" w:ascii="仿宋" w:hAnsi="仿宋" w:eastAsia="仿宋" w:cs="仿宋"/>
          <w:sz w:val="32"/>
          <w:szCs w:val="32"/>
          <w:vertAlign w:val="baseline"/>
        </w:rPr>
        <w:t>　　三是持续健全政务公开工作机制，不断夯实业务能力。严格贯彻落实《条例》规定，下步我局将重新制定制度、完善体制，划分责任，做到领导负责制，各尽其职。不断完善退役军人事务局政府信息公开工作规章制度，推动政府信息制作、采集，严把信息公开源头关，严格按照“三审制度”，严把信息公开源头关。主动发布和解读等程序有序衔接。抓好政府信息公开专办员制度落实，通过培训不断提升政务公开经办人自身专业能力依法依规做好政务公开工作的能力。</w:t>
      </w:r>
    </w:p>
    <w:p>
      <w:pPr>
        <w:pStyle w:val="2"/>
        <w:keepNext w:val="0"/>
        <w:keepLines w:val="0"/>
        <w:widowControl/>
        <w:suppressLineNumbers w:val="0"/>
        <w:spacing w:before="0" w:beforeAutospacing="0" w:after="0" w:afterAutospacing="0"/>
        <w:ind w:left="0" w:right="0" w:firstLine="643"/>
        <w:jc w:val="left"/>
        <w:rPr>
          <w:rFonts w:hint="default" w:ascii="Calibri" w:hAnsi="Calibri" w:cs="Calibri"/>
          <w:sz w:val="21"/>
          <w:szCs w:val="21"/>
        </w:rPr>
      </w:pPr>
      <w:r>
        <w:rPr>
          <w:rFonts w:hint="eastAsia" w:ascii="黑体" w:hAnsi="宋体" w:eastAsia="黑体" w:cs="黑体"/>
          <w:b/>
          <w:bCs/>
          <w:color w:val="333333"/>
          <w:sz w:val="32"/>
          <w:szCs w:val="32"/>
        </w:rPr>
        <w:t>六、其他需要报告的事项</w:t>
      </w:r>
    </w:p>
    <w:p>
      <w:pPr>
        <w:pStyle w:val="2"/>
        <w:keepNext w:val="0"/>
        <w:keepLines w:val="0"/>
        <w:widowControl/>
        <w:suppressLineNumbers w:val="0"/>
        <w:spacing w:before="0" w:beforeAutospacing="0" w:after="0" w:afterAutospacing="0"/>
        <w:ind w:left="0" w:right="0" w:firstLine="640"/>
        <w:jc w:val="left"/>
        <w:rPr>
          <w:rFonts w:hint="default" w:ascii="Calibri" w:hAnsi="Calibri" w:cs="Calibri"/>
          <w:sz w:val="21"/>
          <w:szCs w:val="21"/>
        </w:rPr>
      </w:pPr>
      <w:r>
        <w:rPr>
          <w:rFonts w:hint="eastAsia" w:ascii="仿宋" w:hAnsi="仿宋" w:eastAsia="仿宋" w:cs="仿宋"/>
          <w:sz w:val="32"/>
          <w:szCs w:val="32"/>
        </w:rPr>
        <w:t>按照《国务院办公厅关于印发&lt;政府信息公开信息处理费管理办法&gt;的通知》（国办函〔2020〕109号）规定的按件、按量收费标准，本年度裕安区退役军人事务局没有产生信息公开处理费。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ZmQ0ZGNkODQ2NGE4OTAzOGEzZDk4Y2UzYTZmMDYifQ=="/>
  </w:docVars>
  <w:rsids>
    <w:rsidRoot w:val="00000000"/>
    <w:rsid w:val="21911FA2"/>
    <w:rsid w:val="33CD47B4"/>
    <w:rsid w:val="391A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2024-02-21T06:56:32Z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C363FAE2A9194B289556EEA5210F7E70_12</vt:lpwstr>
  </property>
</Properties>
</file>