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wordWrap/>
        <w:adjustRightInd/>
        <w:snapToGrid/>
        <w:spacing w:line="640" w:lineRule="exact"/>
        <w:jc w:val="center"/>
        <w:textAlignment w:val="center"/>
        <w:rPr>
          <w:rFonts w:hint="default" w:ascii="黑体" w:hAnsi="黑体" w:eastAsia="黑体" w:cs="宋体"/>
          <w:color w:val="auto"/>
          <w:kern w:val="0"/>
          <w:sz w:val="36"/>
          <w:szCs w:val="36"/>
          <w:lang w:val="en-US" w:eastAsia="zh-CN"/>
        </w:rPr>
      </w:pPr>
      <w:r>
        <w:rPr>
          <w:rFonts w:hint="eastAsia" w:ascii="黑体" w:hAnsi="黑体" w:eastAsia="黑体" w:cs="宋体"/>
          <w:color w:val="auto"/>
          <w:kern w:val="0"/>
          <w:sz w:val="36"/>
          <w:szCs w:val="36"/>
          <w:lang w:val="en-US" w:eastAsia="zh-CN"/>
        </w:rPr>
        <w:t>安徽省城镇老旧小区改造绩效评价指标</w:t>
      </w:r>
    </w:p>
    <w:tbl>
      <w:tblPr>
        <w:tblStyle w:val="2"/>
        <w:tblW w:w="1405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314"/>
        <w:gridCol w:w="570"/>
        <w:gridCol w:w="732"/>
        <w:gridCol w:w="453"/>
        <w:gridCol w:w="1715"/>
        <w:gridCol w:w="6593"/>
        <w:gridCol w:w="2707"/>
        <w:gridCol w:w="9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blHeader/>
        </w:trPr>
        <w:tc>
          <w:tcPr>
            <w:tcW w:w="314"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textAlignment w:val="center"/>
              <w:rPr>
                <w:rFonts w:ascii="黑体" w:hAnsi="黑体" w:eastAsia="黑体" w:cs="宋体"/>
                <w:color w:val="auto"/>
                <w:sz w:val="21"/>
                <w:szCs w:val="21"/>
              </w:rPr>
            </w:pPr>
            <w:r>
              <w:rPr>
                <w:rFonts w:hint="eastAsia" w:ascii="黑体" w:hAnsi="黑体" w:eastAsia="黑体" w:cs="宋体"/>
                <w:color w:val="auto"/>
                <w:kern w:val="0"/>
                <w:sz w:val="21"/>
                <w:szCs w:val="21"/>
              </w:rPr>
              <w:t>序号</w:t>
            </w:r>
          </w:p>
        </w:tc>
        <w:tc>
          <w:tcPr>
            <w:tcW w:w="570"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textAlignment w:val="center"/>
              <w:rPr>
                <w:rFonts w:ascii="黑体" w:hAnsi="黑体" w:eastAsia="黑体" w:cs="宋体"/>
                <w:color w:val="auto"/>
                <w:kern w:val="0"/>
                <w:sz w:val="21"/>
                <w:szCs w:val="21"/>
              </w:rPr>
            </w:pPr>
            <w:r>
              <w:rPr>
                <w:rFonts w:hint="eastAsia" w:ascii="黑体" w:hAnsi="黑体" w:eastAsia="黑体" w:cs="宋体"/>
                <w:color w:val="auto"/>
                <w:kern w:val="0"/>
                <w:sz w:val="21"/>
                <w:szCs w:val="21"/>
              </w:rPr>
              <w:t>一级</w:t>
            </w:r>
          </w:p>
          <w:p>
            <w:pPr>
              <w:widowControl/>
              <w:spacing w:line="300" w:lineRule="exact"/>
              <w:jc w:val="center"/>
              <w:textAlignment w:val="center"/>
              <w:rPr>
                <w:rFonts w:ascii="黑体" w:hAnsi="黑体" w:eastAsia="黑体" w:cs="宋体"/>
                <w:color w:val="auto"/>
                <w:sz w:val="21"/>
                <w:szCs w:val="21"/>
              </w:rPr>
            </w:pPr>
            <w:r>
              <w:rPr>
                <w:rFonts w:hint="eastAsia" w:ascii="黑体" w:hAnsi="黑体" w:eastAsia="黑体" w:cs="宋体"/>
                <w:color w:val="auto"/>
                <w:kern w:val="0"/>
                <w:sz w:val="21"/>
                <w:szCs w:val="21"/>
              </w:rPr>
              <w:t>指标</w:t>
            </w:r>
          </w:p>
        </w:tc>
        <w:tc>
          <w:tcPr>
            <w:tcW w:w="732"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textAlignment w:val="center"/>
              <w:rPr>
                <w:rFonts w:ascii="黑体" w:hAnsi="黑体" w:eastAsia="黑体" w:cs="宋体"/>
                <w:color w:val="auto"/>
                <w:sz w:val="21"/>
                <w:szCs w:val="21"/>
              </w:rPr>
            </w:pPr>
            <w:r>
              <w:rPr>
                <w:rFonts w:hint="eastAsia" w:ascii="黑体" w:hAnsi="黑体" w:eastAsia="黑体" w:cs="宋体"/>
                <w:color w:val="auto"/>
                <w:kern w:val="0"/>
                <w:sz w:val="21"/>
                <w:szCs w:val="21"/>
              </w:rPr>
              <w:t>二级指标</w:t>
            </w:r>
          </w:p>
        </w:tc>
        <w:tc>
          <w:tcPr>
            <w:tcW w:w="453"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textAlignment w:val="center"/>
              <w:rPr>
                <w:rFonts w:ascii="黑体" w:hAnsi="黑体" w:eastAsia="黑体" w:cs="宋体"/>
                <w:color w:val="auto"/>
                <w:sz w:val="21"/>
                <w:szCs w:val="21"/>
              </w:rPr>
            </w:pPr>
            <w:r>
              <w:rPr>
                <w:rFonts w:hint="eastAsia" w:ascii="黑体" w:hAnsi="黑体" w:eastAsia="黑体" w:cs="宋体"/>
                <w:color w:val="auto"/>
                <w:kern w:val="0"/>
                <w:sz w:val="21"/>
                <w:szCs w:val="21"/>
              </w:rPr>
              <w:t>指标分值</w:t>
            </w:r>
          </w:p>
        </w:tc>
        <w:tc>
          <w:tcPr>
            <w:tcW w:w="1715"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textAlignment w:val="center"/>
              <w:rPr>
                <w:rFonts w:ascii="黑体" w:hAnsi="黑体" w:eastAsia="黑体" w:cs="宋体"/>
                <w:color w:val="auto"/>
                <w:sz w:val="21"/>
                <w:szCs w:val="21"/>
              </w:rPr>
            </w:pPr>
            <w:r>
              <w:rPr>
                <w:rFonts w:hint="eastAsia" w:ascii="黑体" w:hAnsi="黑体" w:eastAsia="黑体" w:cs="宋体"/>
                <w:color w:val="auto"/>
                <w:kern w:val="0"/>
                <w:sz w:val="21"/>
                <w:szCs w:val="21"/>
              </w:rPr>
              <w:t>指标说明</w:t>
            </w:r>
          </w:p>
        </w:tc>
        <w:tc>
          <w:tcPr>
            <w:tcW w:w="6593"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textAlignment w:val="center"/>
              <w:rPr>
                <w:rFonts w:ascii="黑体" w:hAnsi="黑体" w:eastAsia="黑体" w:cs="宋体"/>
                <w:color w:val="auto"/>
                <w:sz w:val="21"/>
                <w:szCs w:val="21"/>
              </w:rPr>
            </w:pPr>
            <w:r>
              <w:rPr>
                <w:rFonts w:hint="eastAsia" w:ascii="黑体" w:hAnsi="黑体" w:eastAsia="黑体" w:cs="宋体"/>
                <w:color w:val="auto"/>
                <w:kern w:val="0"/>
                <w:sz w:val="21"/>
                <w:szCs w:val="21"/>
              </w:rPr>
              <w:t>评分标准</w:t>
            </w:r>
          </w:p>
        </w:tc>
        <w:tc>
          <w:tcPr>
            <w:tcW w:w="2707"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textAlignment w:val="center"/>
              <w:rPr>
                <w:rFonts w:hint="eastAsia" w:ascii="黑体" w:hAnsi="黑体" w:eastAsia="黑体" w:cs="宋体"/>
                <w:color w:val="auto"/>
                <w:sz w:val="21"/>
                <w:szCs w:val="21"/>
                <w:lang w:eastAsia="zh-CN"/>
              </w:rPr>
            </w:pPr>
            <w:r>
              <w:rPr>
                <w:rFonts w:hint="eastAsia" w:ascii="黑体" w:hAnsi="黑体" w:eastAsia="黑体" w:cs="宋体"/>
                <w:color w:val="auto"/>
                <w:kern w:val="0"/>
                <w:sz w:val="21"/>
                <w:szCs w:val="21"/>
                <w:lang w:eastAsia="zh-CN"/>
              </w:rPr>
              <w:t>落实情况</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textAlignment w:val="center"/>
              <w:rPr>
                <w:rFonts w:hint="eastAsia" w:ascii="黑体" w:hAnsi="黑体" w:eastAsia="黑体" w:cs="宋体"/>
                <w:color w:val="auto"/>
                <w:kern w:val="0"/>
                <w:sz w:val="21"/>
                <w:szCs w:val="21"/>
                <w:lang w:eastAsia="zh-CN"/>
              </w:rPr>
            </w:pPr>
            <w:r>
              <w:rPr>
                <w:rFonts w:hint="eastAsia" w:ascii="黑体" w:hAnsi="黑体" w:eastAsia="黑体" w:cs="宋体"/>
                <w:color w:val="auto"/>
                <w:kern w:val="0"/>
                <w:sz w:val="21"/>
                <w:szCs w:val="21"/>
                <w:lang w:eastAsia="zh-CN"/>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274" w:hRule="atLeast"/>
        </w:trPr>
        <w:tc>
          <w:tcPr>
            <w:tcW w:w="314" w:type="dxa"/>
            <w:vMerge w:val="restart"/>
            <w:tcBorders>
              <w:top w:val="single" w:color="000000" w:sz="4" w:space="0"/>
              <w:left w:val="single" w:color="000000" w:sz="4" w:space="0"/>
              <w:bottom w:val="nil"/>
              <w:right w:val="single" w:color="000000" w:sz="4" w:space="0"/>
            </w:tcBorders>
            <w:vAlign w:val="center"/>
          </w:tcPr>
          <w:p>
            <w:pPr>
              <w:widowControl/>
              <w:numPr>
                <w:ilvl w:val="0"/>
                <w:numId w:val="0"/>
              </w:numPr>
              <w:spacing w:line="300" w:lineRule="exact"/>
              <w:jc w:val="center"/>
              <w:textAlignment w:val="center"/>
              <w:rPr>
                <w:rFonts w:hint="eastAsia" w:ascii="宋体" w:hAnsi="宋体" w:cs="宋体"/>
                <w:color w:val="auto"/>
                <w:sz w:val="22"/>
                <w:szCs w:val="21"/>
                <w:lang w:val="en-US" w:eastAsia="zh-CN"/>
              </w:rPr>
            </w:pPr>
            <w:r>
              <w:rPr>
                <w:rFonts w:hint="eastAsia" w:ascii="宋体" w:hAnsi="宋体" w:cs="宋体"/>
                <w:color w:val="auto"/>
                <w:sz w:val="22"/>
                <w:szCs w:val="21"/>
                <w:lang w:val="en-US" w:eastAsia="zh-CN"/>
              </w:rPr>
              <w:t>1</w:t>
            </w:r>
          </w:p>
        </w:tc>
        <w:tc>
          <w:tcPr>
            <w:tcW w:w="570" w:type="dxa"/>
            <w:vMerge w:val="restart"/>
            <w:tcBorders>
              <w:top w:val="single" w:color="000000" w:sz="4" w:space="0"/>
              <w:left w:val="single" w:color="000000" w:sz="4" w:space="0"/>
              <w:bottom w:val="single" w:color="000000" w:sz="4" w:space="0"/>
              <w:right w:val="single" w:color="000000" w:sz="4" w:space="0"/>
            </w:tcBorders>
            <w:vAlign w:val="center"/>
          </w:tcPr>
          <w:p>
            <w:pPr>
              <w:widowControl/>
              <w:numPr>
                <w:ilvl w:val="0"/>
                <w:numId w:val="0"/>
              </w:numPr>
              <w:spacing w:line="300" w:lineRule="exact"/>
              <w:jc w:val="center"/>
              <w:textAlignment w:val="center"/>
              <w:rPr>
                <w:rFonts w:hint="eastAsia" w:ascii="宋体" w:hAnsi="宋体" w:cs="宋体"/>
                <w:color w:val="auto"/>
                <w:sz w:val="22"/>
                <w:szCs w:val="21"/>
                <w:lang w:val="en-US" w:eastAsia="zh-CN"/>
              </w:rPr>
            </w:pPr>
            <w:r>
              <w:rPr>
                <w:rFonts w:hint="eastAsia" w:ascii="宋体" w:hAnsi="宋体" w:cs="宋体"/>
                <w:color w:val="auto"/>
                <w:sz w:val="22"/>
                <w:szCs w:val="21"/>
                <w:lang w:val="en-US" w:eastAsia="zh-CN"/>
              </w:rPr>
              <w:t>投入</w:t>
            </w:r>
            <w:r>
              <w:rPr>
                <w:rFonts w:hint="eastAsia" w:ascii="宋体" w:hAnsi="宋体" w:cs="宋体"/>
                <w:color w:val="auto"/>
                <w:sz w:val="22"/>
                <w:szCs w:val="21"/>
                <w:lang w:val="en-US" w:eastAsia="zh-CN"/>
              </w:rPr>
              <w:br w:type="textWrapping"/>
            </w:r>
            <w:r>
              <w:rPr>
                <w:rFonts w:hint="eastAsia" w:ascii="宋体" w:hAnsi="宋体" w:cs="宋体"/>
                <w:color w:val="auto"/>
                <w:sz w:val="22"/>
                <w:szCs w:val="21"/>
                <w:lang w:val="en-US" w:eastAsia="zh-CN"/>
              </w:rPr>
              <w:t>（15分）</w:t>
            </w:r>
          </w:p>
        </w:tc>
        <w:tc>
          <w:tcPr>
            <w:tcW w:w="732" w:type="dxa"/>
            <w:tcBorders>
              <w:top w:val="single" w:color="000000" w:sz="4" w:space="0"/>
              <w:left w:val="single" w:color="000000" w:sz="4" w:space="0"/>
              <w:bottom w:val="single" w:color="000000" w:sz="4" w:space="0"/>
              <w:right w:val="single" w:color="000000" w:sz="4" w:space="0"/>
            </w:tcBorders>
            <w:vAlign w:val="center"/>
          </w:tcPr>
          <w:p>
            <w:pPr>
              <w:widowControl/>
              <w:numPr>
                <w:ilvl w:val="0"/>
                <w:numId w:val="0"/>
              </w:numPr>
              <w:spacing w:line="300" w:lineRule="exact"/>
              <w:jc w:val="center"/>
              <w:textAlignment w:val="center"/>
              <w:rPr>
                <w:rFonts w:hint="eastAsia" w:ascii="宋体" w:hAnsi="宋体" w:cs="宋体"/>
                <w:color w:val="auto"/>
                <w:sz w:val="22"/>
                <w:szCs w:val="21"/>
                <w:lang w:val="en-US" w:eastAsia="zh-CN"/>
              </w:rPr>
            </w:pPr>
            <w:r>
              <w:rPr>
                <w:rFonts w:hint="eastAsia" w:ascii="宋体" w:hAnsi="宋体" w:cs="宋体"/>
                <w:color w:val="auto"/>
                <w:sz w:val="22"/>
                <w:szCs w:val="21"/>
                <w:lang w:val="en-US" w:eastAsia="zh-CN"/>
              </w:rPr>
              <w:t>完善政策机制</w:t>
            </w:r>
          </w:p>
        </w:tc>
        <w:tc>
          <w:tcPr>
            <w:tcW w:w="453" w:type="dxa"/>
            <w:tcBorders>
              <w:top w:val="single" w:color="000000" w:sz="4" w:space="0"/>
              <w:left w:val="single" w:color="000000" w:sz="4" w:space="0"/>
              <w:bottom w:val="single" w:color="000000" w:sz="4" w:space="0"/>
              <w:right w:val="single" w:color="000000" w:sz="4" w:space="0"/>
            </w:tcBorders>
            <w:vAlign w:val="center"/>
          </w:tcPr>
          <w:p>
            <w:pPr>
              <w:widowControl/>
              <w:numPr>
                <w:ilvl w:val="0"/>
                <w:numId w:val="0"/>
              </w:numPr>
              <w:spacing w:line="300" w:lineRule="exact"/>
              <w:jc w:val="center"/>
              <w:textAlignment w:val="center"/>
              <w:rPr>
                <w:rFonts w:hint="default" w:ascii="宋体" w:hAnsi="宋体" w:cs="宋体"/>
                <w:color w:val="auto"/>
                <w:sz w:val="22"/>
                <w:szCs w:val="21"/>
                <w:lang w:val="en-US" w:eastAsia="zh-CN"/>
              </w:rPr>
            </w:pPr>
            <w:r>
              <w:rPr>
                <w:rFonts w:hint="eastAsia" w:ascii="宋体" w:hAnsi="宋体" w:cs="宋体"/>
                <w:color w:val="auto"/>
                <w:sz w:val="22"/>
                <w:szCs w:val="21"/>
                <w:lang w:val="en-US" w:eastAsia="zh-CN"/>
              </w:rPr>
              <w:t>3.5分</w:t>
            </w:r>
          </w:p>
        </w:tc>
        <w:tc>
          <w:tcPr>
            <w:tcW w:w="1715" w:type="dxa"/>
            <w:tcBorders>
              <w:top w:val="single" w:color="000000" w:sz="4" w:space="0"/>
              <w:left w:val="single" w:color="000000" w:sz="4" w:space="0"/>
              <w:bottom w:val="single" w:color="000000" w:sz="4" w:space="0"/>
              <w:right w:val="single" w:color="000000" w:sz="4" w:space="0"/>
            </w:tcBorders>
            <w:vAlign w:val="center"/>
          </w:tcPr>
          <w:p>
            <w:pPr>
              <w:widowControl/>
              <w:numPr>
                <w:ilvl w:val="0"/>
                <w:numId w:val="0"/>
              </w:numPr>
              <w:spacing w:line="300" w:lineRule="exact"/>
              <w:jc w:val="left"/>
              <w:textAlignment w:val="center"/>
              <w:rPr>
                <w:rFonts w:hint="default" w:ascii="宋体" w:hAnsi="宋体" w:cs="宋体"/>
                <w:color w:val="auto"/>
                <w:sz w:val="22"/>
                <w:szCs w:val="21"/>
                <w:lang w:val="en-US" w:eastAsia="zh-CN"/>
              </w:rPr>
            </w:pPr>
            <w:r>
              <w:rPr>
                <w:rFonts w:hint="eastAsia" w:ascii="宋体" w:hAnsi="宋体" w:cs="宋体"/>
                <w:color w:val="auto"/>
                <w:sz w:val="22"/>
                <w:szCs w:val="21"/>
                <w:lang w:val="en-US" w:eastAsia="zh-CN"/>
              </w:rPr>
              <w:t>老旧小区改造政策机制制定完善情况</w:t>
            </w:r>
          </w:p>
        </w:tc>
        <w:tc>
          <w:tcPr>
            <w:tcW w:w="6593" w:type="dxa"/>
            <w:tcBorders>
              <w:top w:val="single" w:color="000000" w:sz="4" w:space="0"/>
              <w:left w:val="single" w:color="000000" w:sz="4" w:space="0"/>
              <w:bottom w:val="single" w:color="000000" w:sz="4" w:space="0"/>
              <w:right w:val="single" w:color="000000" w:sz="4" w:space="0"/>
            </w:tcBorders>
            <w:vAlign w:val="center"/>
          </w:tcPr>
          <w:p>
            <w:pPr>
              <w:widowControl/>
              <w:numPr>
                <w:ilvl w:val="0"/>
                <w:numId w:val="0"/>
              </w:numPr>
              <w:spacing w:line="300" w:lineRule="exact"/>
              <w:jc w:val="left"/>
              <w:textAlignment w:val="center"/>
              <w:rPr>
                <w:rFonts w:hint="default" w:ascii="宋体" w:hAnsi="宋体" w:cs="宋体"/>
                <w:color w:val="auto"/>
                <w:sz w:val="22"/>
                <w:szCs w:val="21"/>
                <w:lang w:val="en-US" w:eastAsia="zh-CN"/>
              </w:rPr>
            </w:pPr>
            <w:r>
              <w:rPr>
                <w:rFonts w:hint="eastAsia" w:ascii="宋体" w:hAnsi="宋体" w:cs="宋体"/>
                <w:color w:val="auto"/>
                <w:sz w:val="22"/>
                <w:szCs w:val="21"/>
                <w:lang w:val="en-US" w:eastAsia="zh-CN"/>
              </w:rPr>
              <w:t>1.建立政府主要负责同志亲自抓、分管负责同志具体抓的工作机制，明确工作规则、责任清单和议事规程的，得1分；</w:t>
            </w:r>
          </w:p>
          <w:p>
            <w:pPr>
              <w:widowControl/>
              <w:numPr>
                <w:ilvl w:val="0"/>
                <w:numId w:val="0"/>
              </w:numPr>
              <w:spacing w:line="300" w:lineRule="exact"/>
              <w:jc w:val="left"/>
              <w:textAlignment w:val="center"/>
              <w:rPr>
                <w:rFonts w:hint="default" w:ascii="宋体" w:hAnsi="宋体" w:cs="宋体"/>
                <w:color w:val="auto"/>
                <w:sz w:val="22"/>
                <w:szCs w:val="21"/>
                <w:lang w:val="en-US" w:eastAsia="zh-CN"/>
              </w:rPr>
            </w:pPr>
            <w:r>
              <w:rPr>
                <w:rFonts w:hint="eastAsia" w:ascii="宋体" w:hAnsi="宋体" w:cs="宋体"/>
                <w:color w:val="auto"/>
                <w:sz w:val="22"/>
                <w:szCs w:val="21"/>
                <w:lang w:val="en-US" w:eastAsia="zh-CN"/>
              </w:rPr>
              <w:t>2.市、县出台精简改造项目审批方面配套政策（0.5），地级及以上城市因地制宜完善适应改造需要的标准体系（0.5），市、县出台整合利用小区及周边存量资源、改造中既有土地集约混合利用和存量房屋设施兼容转换等方面配套政策的（0.5），得1.5分；</w:t>
            </w:r>
          </w:p>
          <w:p>
            <w:pPr>
              <w:widowControl/>
              <w:numPr>
                <w:ilvl w:val="0"/>
                <w:numId w:val="0"/>
              </w:numPr>
              <w:spacing w:line="300" w:lineRule="exact"/>
              <w:jc w:val="left"/>
              <w:textAlignment w:val="center"/>
              <w:rPr>
                <w:rFonts w:hint="default" w:ascii="宋体" w:hAnsi="宋体" w:cs="宋体"/>
                <w:color w:val="auto"/>
                <w:sz w:val="22"/>
                <w:szCs w:val="21"/>
                <w:lang w:val="en-US" w:eastAsia="zh-CN"/>
              </w:rPr>
            </w:pPr>
            <w:r>
              <w:rPr>
                <w:rFonts w:hint="eastAsia" w:ascii="宋体" w:hAnsi="宋体" w:cs="宋体"/>
                <w:color w:val="auto"/>
                <w:sz w:val="22"/>
                <w:szCs w:val="21"/>
                <w:lang w:val="en-US" w:eastAsia="zh-CN"/>
              </w:rPr>
              <w:t>3.建立健全老旧小区住宅专项维修资金归集、使用、续筹机制的，得1分。</w:t>
            </w:r>
          </w:p>
        </w:tc>
        <w:tc>
          <w:tcPr>
            <w:tcW w:w="2707" w:type="dxa"/>
            <w:tcBorders>
              <w:top w:val="single" w:color="000000" w:sz="4" w:space="0"/>
              <w:left w:val="single" w:color="000000" w:sz="4" w:space="0"/>
              <w:bottom w:val="single" w:color="auto" w:sz="4" w:space="0"/>
              <w:right w:val="single" w:color="000000" w:sz="4" w:space="0"/>
            </w:tcBorders>
            <w:vAlign w:val="center"/>
          </w:tcPr>
          <w:p>
            <w:pPr>
              <w:widowControl/>
              <w:spacing w:line="300" w:lineRule="exact"/>
              <w:jc w:val="left"/>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1.已成立区级城镇老旧小区领导组，由区长担任组长</w:t>
            </w:r>
          </w:p>
          <w:p>
            <w:pPr>
              <w:widowControl/>
              <w:spacing w:line="300" w:lineRule="exact"/>
              <w:jc w:val="left"/>
              <w:rPr>
                <w:rFonts w:hint="default" w:ascii="宋体" w:hAnsi="宋体" w:cs="宋体"/>
                <w:color w:val="auto"/>
                <w:sz w:val="21"/>
                <w:szCs w:val="21"/>
                <w:lang w:val="en-US" w:eastAsia="zh-CN"/>
              </w:rPr>
            </w:pPr>
            <w:r>
              <w:rPr>
                <w:rFonts w:hint="eastAsia" w:ascii="宋体" w:hAnsi="宋体" w:cs="宋体"/>
                <w:color w:val="auto"/>
                <w:sz w:val="21"/>
                <w:szCs w:val="21"/>
                <w:lang w:val="en-US" w:eastAsia="zh-CN"/>
              </w:rPr>
              <w:t>2.已经出台精简改造项目审批手续，已经办理施工许可证</w:t>
            </w:r>
          </w:p>
        </w:tc>
        <w:tc>
          <w:tcPr>
            <w:tcW w:w="972" w:type="dxa"/>
            <w:tcBorders>
              <w:top w:val="single" w:color="000000" w:sz="4" w:space="0"/>
              <w:left w:val="single" w:color="000000" w:sz="4" w:space="0"/>
              <w:bottom w:val="single" w:color="auto" w:sz="4" w:space="0"/>
              <w:right w:val="single" w:color="000000" w:sz="4" w:space="0"/>
            </w:tcBorders>
            <w:vAlign w:val="center"/>
          </w:tcPr>
          <w:p>
            <w:pPr>
              <w:widowControl/>
              <w:spacing w:line="300" w:lineRule="exact"/>
              <w:jc w:val="center"/>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314" w:type="dxa"/>
            <w:vMerge w:val="continue"/>
            <w:tcBorders>
              <w:top w:val="nil"/>
              <w:left w:val="single" w:color="000000" w:sz="4" w:space="0"/>
              <w:bottom w:val="nil"/>
              <w:right w:val="single" w:color="000000" w:sz="4" w:space="0"/>
            </w:tcBorders>
            <w:vAlign w:val="center"/>
          </w:tcPr>
          <w:p>
            <w:pPr>
              <w:widowControl/>
              <w:numPr>
                <w:ilvl w:val="0"/>
                <w:numId w:val="0"/>
              </w:numPr>
              <w:spacing w:line="300" w:lineRule="exact"/>
              <w:jc w:val="center"/>
              <w:textAlignment w:val="center"/>
              <w:rPr>
                <w:rFonts w:hint="eastAsia" w:ascii="宋体" w:hAnsi="宋体" w:cs="宋体"/>
                <w:color w:val="auto"/>
                <w:sz w:val="22"/>
                <w:szCs w:val="21"/>
                <w:lang w:val="en-US" w:eastAsia="zh-CN"/>
              </w:rPr>
            </w:pPr>
          </w:p>
        </w:tc>
        <w:tc>
          <w:tcPr>
            <w:tcW w:w="570" w:type="dxa"/>
            <w:vMerge w:val="continue"/>
            <w:tcBorders>
              <w:top w:val="single" w:color="000000" w:sz="4" w:space="0"/>
              <w:left w:val="single" w:color="000000" w:sz="4" w:space="0"/>
              <w:bottom w:val="single" w:color="000000" w:sz="4" w:space="0"/>
              <w:right w:val="single" w:color="000000" w:sz="4" w:space="0"/>
            </w:tcBorders>
            <w:vAlign w:val="center"/>
          </w:tcPr>
          <w:p>
            <w:pPr>
              <w:widowControl/>
              <w:numPr>
                <w:ilvl w:val="0"/>
                <w:numId w:val="0"/>
              </w:numPr>
              <w:spacing w:line="300" w:lineRule="exact"/>
              <w:jc w:val="center"/>
              <w:textAlignment w:val="center"/>
              <w:rPr>
                <w:rFonts w:hint="eastAsia" w:ascii="宋体" w:hAnsi="宋体" w:cs="宋体"/>
                <w:color w:val="auto"/>
                <w:sz w:val="22"/>
                <w:szCs w:val="21"/>
                <w:lang w:val="en-US" w:eastAsia="zh-CN"/>
              </w:rPr>
            </w:pPr>
          </w:p>
        </w:tc>
        <w:tc>
          <w:tcPr>
            <w:tcW w:w="732" w:type="dxa"/>
            <w:tcBorders>
              <w:top w:val="single" w:color="000000" w:sz="4" w:space="0"/>
              <w:left w:val="single" w:color="000000" w:sz="4" w:space="0"/>
              <w:bottom w:val="single" w:color="000000" w:sz="4" w:space="0"/>
              <w:right w:val="single" w:color="000000" w:sz="4" w:space="0"/>
            </w:tcBorders>
            <w:vAlign w:val="center"/>
          </w:tcPr>
          <w:p>
            <w:pPr>
              <w:widowControl/>
              <w:numPr>
                <w:ilvl w:val="0"/>
                <w:numId w:val="0"/>
              </w:numPr>
              <w:spacing w:line="300" w:lineRule="exact"/>
              <w:jc w:val="center"/>
              <w:textAlignment w:val="center"/>
              <w:rPr>
                <w:rFonts w:hint="eastAsia" w:ascii="宋体" w:hAnsi="宋体" w:cs="宋体"/>
                <w:color w:val="auto"/>
                <w:sz w:val="22"/>
                <w:szCs w:val="21"/>
                <w:lang w:val="en-US" w:eastAsia="zh-CN"/>
              </w:rPr>
            </w:pPr>
            <w:r>
              <w:rPr>
                <w:rFonts w:hint="eastAsia" w:ascii="宋体" w:hAnsi="宋体" w:cs="宋体"/>
                <w:color w:val="auto"/>
                <w:sz w:val="22"/>
                <w:szCs w:val="21"/>
                <w:lang w:val="en-US" w:eastAsia="zh-CN"/>
              </w:rPr>
              <w:t>项目谋划及申报</w:t>
            </w:r>
          </w:p>
        </w:tc>
        <w:tc>
          <w:tcPr>
            <w:tcW w:w="453" w:type="dxa"/>
            <w:tcBorders>
              <w:top w:val="single" w:color="000000" w:sz="4" w:space="0"/>
              <w:left w:val="single" w:color="000000" w:sz="4" w:space="0"/>
              <w:bottom w:val="single" w:color="000000" w:sz="4" w:space="0"/>
              <w:right w:val="single" w:color="000000" w:sz="4" w:space="0"/>
            </w:tcBorders>
            <w:vAlign w:val="center"/>
          </w:tcPr>
          <w:p>
            <w:pPr>
              <w:widowControl/>
              <w:numPr>
                <w:ilvl w:val="0"/>
                <w:numId w:val="0"/>
              </w:numPr>
              <w:spacing w:line="300" w:lineRule="exact"/>
              <w:jc w:val="center"/>
              <w:textAlignment w:val="center"/>
              <w:rPr>
                <w:rFonts w:hint="default" w:ascii="宋体" w:hAnsi="宋体" w:cs="宋体"/>
                <w:color w:val="auto"/>
                <w:sz w:val="22"/>
                <w:szCs w:val="21"/>
                <w:lang w:val="en-US" w:eastAsia="zh-CN"/>
              </w:rPr>
            </w:pPr>
            <w:r>
              <w:rPr>
                <w:rFonts w:hint="eastAsia" w:ascii="宋体" w:hAnsi="宋体" w:cs="宋体"/>
                <w:color w:val="auto"/>
                <w:sz w:val="22"/>
                <w:szCs w:val="21"/>
                <w:lang w:val="en-US" w:eastAsia="zh-CN"/>
              </w:rPr>
              <w:t>4分</w:t>
            </w:r>
          </w:p>
        </w:tc>
        <w:tc>
          <w:tcPr>
            <w:tcW w:w="1715" w:type="dxa"/>
            <w:tcBorders>
              <w:top w:val="single" w:color="000000" w:sz="4" w:space="0"/>
              <w:left w:val="single" w:color="000000" w:sz="4" w:space="0"/>
              <w:bottom w:val="single" w:color="000000" w:sz="4" w:space="0"/>
              <w:right w:val="single" w:color="000000" w:sz="4" w:space="0"/>
            </w:tcBorders>
            <w:vAlign w:val="center"/>
          </w:tcPr>
          <w:p>
            <w:pPr>
              <w:widowControl/>
              <w:numPr>
                <w:ilvl w:val="0"/>
                <w:numId w:val="0"/>
              </w:numPr>
              <w:spacing w:line="300" w:lineRule="exact"/>
              <w:jc w:val="left"/>
              <w:textAlignment w:val="center"/>
              <w:rPr>
                <w:rFonts w:hint="eastAsia" w:ascii="宋体" w:hAnsi="宋体" w:cs="宋体"/>
                <w:color w:val="auto"/>
                <w:sz w:val="22"/>
                <w:szCs w:val="21"/>
                <w:lang w:val="en-US" w:eastAsia="zh-CN"/>
              </w:rPr>
            </w:pPr>
            <w:r>
              <w:rPr>
                <w:rFonts w:hint="eastAsia" w:ascii="宋体" w:hAnsi="宋体" w:cs="宋体"/>
                <w:color w:val="auto"/>
                <w:sz w:val="22"/>
                <w:szCs w:val="21"/>
                <w:lang w:val="en-US" w:eastAsia="zh-CN"/>
              </w:rPr>
              <w:t>老旧小区改造项目谋划申报情况</w:t>
            </w:r>
          </w:p>
        </w:tc>
        <w:tc>
          <w:tcPr>
            <w:tcW w:w="6593" w:type="dxa"/>
            <w:tcBorders>
              <w:top w:val="single" w:color="000000" w:sz="4" w:space="0"/>
              <w:left w:val="single" w:color="000000" w:sz="4" w:space="0"/>
              <w:bottom w:val="single" w:color="000000" w:sz="4" w:space="0"/>
              <w:right w:val="single" w:color="auto" w:sz="4" w:space="0"/>
            </w:tcBorders>
            <w:vAlign w:val="center"/>
          </w:tcPr>
          <w:p>
            <w:pPr>
              <w:widowControl/>
              <w:numPr>
                <w:ilvl w:val="0"/>
                <w:numId w:val="0"/>
              </w:numPr>
              <w:spacing w:line="300" w:lineRule="exact"/>
              <w:jc w:val="left"/>
              <w:textAlignment w:val="center"/>
              <w:rPr>
                <w:rFonts w:hint="eastAsia" w:ascii="宋体" w:hAnsi="宋体" w:cs="宋体"/>
                <w:color w:val="auto"/>
                <w:sz w:val="22"/>
                <w:szCs w:val="21"/>
                <w:lang w:val="en-US" w:eastAsia="zh-CN"/>
              </w:rPr>
            </w:pPr>
            <w:r>
              <w:rPr>
                <w:rFonts w:hint="eastAsia" w:ascii="宋体" w:hAnsi="宋体" w:cs="宋体"/>
                <w:color w:val="auto"/>
                <w:sz w:val="22"/>
                <w:szCs w:val="21"/>
                <w:lang w:val="en-US" w:eastAsia="zh-CN"/>
              </w:rPr>
              <w:t>1.根据小区配套设施状况、改造方案完整性、针对性，居民意愿等对入库项目初步实施方案进行量化计分、排序，明确纳入年度改造计划优先顺序（1），制定项目年度计划和实施方案的（1），得2分；</w:t>
            </w:r>
          </w:p>
          <w:p>
            <w:pPr>
              <w:widowControl/>
              <w:numPr>
                <w:ilvl w:val="0"/>
                <w:numId w:val="0"/>
              </w:numPr>
              <w:spacing w:line="300" w:lineRule="exact"/>
              <w:jc w:val="left"/>
              <w:textAlignment w:val="center"/>
              <w:rPr>
                <w:rFonts w:hint="eastAsia" w:ascii="宋体" w:hAnsi="宋体" w:cs="宋体"/>
                <w:color w:val="auto"/>
                <w:sz w:val="22"/>
                <w:szCs w:val="21"/>
                <w:lang w:val="en-US" w:eastAsia="zh-CN"/>
              </w:rPr>
            </w:pPr>
            <w:r>
              <w:rPr>
                <w:rFonts w:hint="eastAsia" w:ascii="宋体" w:hAnsi="宋体" w:cs="宋体"/>
                <w:color w:val="auto"/>
                <w:sz w:val="22"/>
                <w:szCs w:val="21"/>
                <w:lang w:val="en-US" w:eastAsia="zh-CN"/>
              </w:rPr>
              <w:t>2.建立城镇老旧小区项目储备库，完善基本项目信息（0.5），根据摸排结果制定中长期工作规划的（0.5），得1 分；</w:t>
            </w:r>
          </w:p>
          <w:p>
            <w:pPr>
              <w:widowControl/>
              <w:numPr>
                <w:ilvl w:val="0"/>
                <w:numId w:val="0"/>
              </w:numPr>
              <w:spacing w:line="300" w:lineRule="exact"/>
              <w:jc w:val="left"/>
              <w:textAlignment w:val="center"/>
              <w:rPr>
                <w:rFonts w:hint="default" w:ascii="宋体" w:hAnsi="宋体" w:cs="宋体"/>
                <w:color w:val="auto"/>
                <w:sz w:val="22"/>
                <w:szCs w:val="21"/>
                <w:lang w:val="en-US" w:eastAsia="zh-CN"/>
              </w:rPr>
            </w:pPr>
            <w:r>
              <w:rPr>
                <w:rFonts w:hint="eastAsia" w:ascii="宋体" w:hAnsi="宋体" w:cs="宋体"/>
                <w:color w:val="auto"/>
                <w:sz w:val="22"/>
                <w:szCs w:val="21"/>
                <w:lang w:val="en-US" w:eastAsia="zh-CN"/>
              </w:rPr>
              <w:t>3.纳入年度改造计划的小区及小区改造方案充分征求居民意见，参与率、同意率达到规定比例（0.5）。改造开工前居民就物业管理模式、缴纳必要的物业服务费用等协商形成共识，由居民表决共同决定事项的（0.5），得1分。</w:t>
            </w:r>
          </w:p>
        </w:tc>
        <w:tc>
          <w:tcPr>
            <w:tcW w:w="2707"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1.针对每个改造小区实际情况，收集需求调查表，居民参与设计，制定改造方案，制定裕安区2021-2025年“十四五计划”</w:t>
            </w:r>
          </w:p>
          <w:p>
            <w:pPr>
              <w:widowControl/>
              <w:spacing w:line="300" w:lineRule="exact"/>
              <w:jc w:val="left"/>
              <w:rPr>
                <w:rFonts w:hint="eastAsia" w:ascii="宋体" w:hAnsi="宋体" w:cs="宋体"/>
                <w:color w:val="auto"/>
                <w:sz w:val="22"/>
                <w:szCs w:val="21"/>
                <w:lang w:val="en-US" w:eastAsia="zh-CN"/>
              </w:rPr>
            </w:pPr>
            <w:r>
              <w:rPr>
                <w:rFonts w:hint="eastAsia" w:ascii="宋体" w:hAnsi="宋体" w:cs="宋体"/>
                <w:color w:val="auto"/>
                <w:sz w:val="21"/>
                <w:szCs w:val="21"/>
                <w:lang w:val="en-US" w:eastAsia="zh-CN"/>
              </w:rPr>
              <w:t>2.已建立城镇老旧小区项目储备库，完善基本项目信息，并根据</w:t>
            </w:r>
            <w:r>
              <w:rPr>
                <w:rFonts w:hint="eastAsia" w:ascii="宋体" w:hAnsi="宋体" w:cs="宋体"/>
                <w:color w:val="auto"/>
                <w:sz w:val="22"/>
                <w:szCs w:val="21"/>
                <w:lang w:val="en-US" w:eastAsia="zh-CN"/>
              </w:rPr>
              <w:t>摸排结果制定中长期工作规划的</w:t>
            </w:r>
          </w:p>
          <w:p>
            <w:pPr>
              <w:widowControl/>
              <w:spacing w:line="300" w:lineRule="exact"/>
              <w:jc w:val="left"/>
              <w:rPr>
                <w:rFonts w:hint="eastAsia" w:ascii="宋体" w:hAnsi="宋体" w:cs="宋体"/>
                <w:color w:val="auto"/>
                <w:sz w:val="22"/>
                <w:szCs w:val="21"/>
                <w:lang w:val="en-US" w:eastAsia="zh-CN"/>
              </w:rPr>
            </w:pPr>
            <w:r>
              <w:rPr>
                <w:rFonts w:hint="eastAsia" w:ascii="宋体" w:hAnsi="宋体" w:cs="宋体"/>
                <w:color w:val="auto"/>
                <w:sz w:val="22"/>
                <w:szCs w:val="21"/>
                <w:lang w:val="en-US" w:eastAsia="zh-CN"/>
              </w:rPr>
              <w:t>3.纳入年度改造计划的小区及小区改造方案充分征求居民意见，参与率、同意率较高；改造开工前居民就物业管理模式、缴纳必要的物业服务费用等协商形成共识，由居民表决共同决定事项</w:t>
            </w:r>
          </w:p>
          <w:p>
            <w:pPr>
              <w:widowControl/>
              <w:spacing w:line="300" w:lineRule="exact"/>
              <w:jc w:val="left"/>
              <w:rPr>
                <w:rFonts w:hint="default" w:ascii="宋体" w:hAnsi="宋体" w:cs="宋体"/>
                <w:color w:val="auto"/>
                <w:sz w:val="22"/>
                <w:szCs w:val="21"/>
                <w:lang w:val="en-US" w:eastAsia="zh-CN"/>
              </w:rPr>
            </w:pPr>
          </w:p>
        </w:tc>
        <w:tc>
          <w:tcPr>
            <w:tcW w:w="972"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314" w:type="dxa"/>
            <w:vMerge w:val="continue"/>
            <w:tcBorders>
              <w:top w:val="nil"/>
              <w:left w:val="single" w:color="000000" w:sz="4" w:space="0"/>
              <w:bottom w:val="single" w:color="000000" w:sz="4" w:space="0"/>
              <w:right w:val="single" w:color="000000" w:sz="4" w:space="0"/>
            </w:tcBorders>
            <w:vAlign w:val="center"/>
          </w:tcPr>
          <w:p>
            <w:pPr>
              <w:widowControl/>
              <w:numPr>
                <w:ilvl w:val="0"/>
                <w:numId w:val="0"/>
              </w:numPr>
              <w:spacing w:line="300" w:lineRule="exact"/>
              <w:jc w:val="center"/>
              <w:textAlignment w:val="center"/>
              <w:rPr>
                <w:rFonts w:hint="eastAsia" w:ascii="宋体" w:hAnsi="宋体" w:cs="宋体"/>
                <w:color w:val="auto"/>
                <w:sz w:val="22"/>
                <w:szCs w:val="21"/>
                <w:lang w:val="en-US" w:eastAsia="zh-CN"/>
              </w:rPr>
            </w:pPr>
          </w:p>
        </w:tc>
        <w:tc>
          <w:tcPr>
            <w:tcW w:w="570" w:type="dxa"/>
            <w:vMerge w:val="continue"/>
            <w:tcBorders>
              <w:top w:val="single" w:color="000000" w:sz="4" w:space="0"/>
              <w:left w:val="single" w:color="000000" w:sz="4" w:space="0"/>
              <w:bottom w:val="single" w:color="000000" w:sz="4" w:space="0"/>
              <w:right w:val="single" w:color="000000" w:sz="4" w:space="0"/>
            </w:tcBorders>
            <w:vAlign w:val="center"/>
          </w:tcPr>
          <w:p>
            <w:pPr>
              <w:widowControl/>
              <w:numPr>
                <w:ilvl w:val="0"/>
                <w:numId w:val="0"/>
              </w:numPr>
              <w:spacing w:line="300" w:lineRule="exact"/>
              <w:jc w:val="center"/>
              <w:textAlignment w:val="center"/>
              <w:rPr>
                <w:rFonts w:hint="eastAsia" w:ascii="宋体" w:hAnsi="宋体" w:cs="宋体"/>
                <w:color w:val="auto"/>
                <w:sz w:val="22"/>
                <w:szCs w:val="21"/>
                <w:lang w:val="en-US" w:eastAsia="zh-CN"/>
              </w:rPr>
            </w:pPr>
          </w:p>
        </w:tc>
        <w:tc>
          <w:tcPr>
            <w:tcW w:w="732" w:type="dxa"/>
            <w:tcBorders>
              <w:top w:val="single" w:color="000000" w:sz="4" w:space="0"/>
              <w:left w:val="single" w:color="000000" w:sz="4" w:space="0"/>
              <w:bottom w:val="single" w:color="000000" w:sz="4" w:space="0"/>
              <w:right w:val="single" w:color="000000" w:sz="4" w:space="0"/>
            </w:tcBorders>
            <w:vAlign w:val="center"/>
          </w:tcPr>
          <w:p>
            <w:pPr>
              <w:widowControl/>
              <w:numPr>
                <w:ilvl w:val="0"/>
                <w:numId w:val="0"/>
              </w:numPr>
              <w:spacing w:line="300" w:lineRule="exact"/>
              <w:jc w:val="center"/>
              <w:textAlignment w:val="center"/>
              <w:rPr>
                <w:rFonts w:hint="eastAsia" w:ascii="宋体" w:hAnsi="宋体" w:cs="宋体"/>
                <w:color w:val="auto"/>
                <w:sz w:val="22"/>
                <w:szCs w:val="21"/>
                <w:lang w:val="en-US" w:eastAsia="zh-CN"/>
              </w:rPr>
            </w:pPr>
            <w:r>
              <w:rPr>
                <w:rFonts w:hint="eastAsia" w:ascii="宋体" w:hAnsi="宋体" w:cs="宋体"/>
                <w:color w:val="auto"/>
                <w:sz w:val="22"/>
                <w:szCs w:val="21"/>
                <w:lang w:val="en-US" w:eastAsia="zh-CN"/>
              </w:rPr>
              <w:t>资金管理及筹集</w:t>
            </w:r>
          </w:p>
          <w:p>
            <w:pPr>
              <w:widowControl/>
              <w:numPr>
                <w:ilvl w:val="0"/>
                <w:numId w:val="0"/>
              </w:numPr>
              <w:spacing w:line="300" w:lineRule="exact"/>
              <w:jc w:val="center"/>
              <w:textAlignment w:val="center"/>
              <w:rPr>
                <w:rFonts w:hint="eastAsia" w:ascii="宋体" w:hAnsi="宋体" w:cs="宋体"/>
                <w:color w:val="auto"/>
                <w:sz w:val="22"/>
                <w:szCs w:val="21"/>
                <w:lang w:val="en-US" w:eastAsia="zh-CN"/>
              </w:rPr>
            </w:pPr>
          </w:p>
        </w:tc>
        <w:tc>
          <w:tcPr>
            <w:tcW w:w="453" w:type="dxa"/>
            <w:tcBorders>
              <w:top w:val="single" w:color="000000" w:sz="4" w:space="0"/>
              <w:left w:val="single" w:color="000000" w:sz="4" w:space="0"/>
              <w:bottom w:val="single" w:color="000000" w:sz="4" w:space="0"/>
              <w:right w:val="single" w:color="000000" w:sz="4" w:space="0"/>
            </w:tcBorders>
            <w:vAlign w:val="center"/>
          </w:tcPr>
          <w:p>
            <w:pPr>
              <w:widowControl/>
              <w:numPr>
                <w:ilvl w:val="0"/>
                <w:numId w:val="0"/>
              </w:numPr>
              <w:spacing w:line="300" w:lineRule="exact"/>
              <w:jc w:val="center"/>
              <w:textAlignment w:val="center"/>
              <w:rPr>
                <w:rFonts w:hint="default" w:ascii="宋体" w:hAnsi="宋体" w:cs="宋体"/>
                <w:color w:val="auto"/>
                <w:sz w:val="22"/>
                <w:szCs w:val="21"/>
                <w:lang w:val="en-US" w:eastAsia="zh-CN"/>
              </w:rPr>
            </w:pPr>
            <w:r>
              <w:rPr>
                <w:rFonts w:hint="eastAsia" w:ascii="宋体" w:hAnsi="宋体" w:cs="宋体"/>
                <w:color w:val="auto"/>
                <w:sz w:val="22"/>
                <w:szCs w:val="21"/>
                <w:lang w:val="en-US" w:eastAsia="zh-CN"/>
              </w:rPr>
              <w:t>7.5分</w:t>
            </w:r>
          </w:p>
        </w:tc>
        <w:tc>
          <w:tcPr>
            <w:tcW w:w="1715" w:type="dxa"/>
            <w:tcBorders>
              <w:top w:val="single" w:color="000000" w:sz="4" w:space="0"/>
              <w:left w:val="single" w:color="000000" w:sz="4" w:space="0"/>
              <w:bottom w:val="single" w:color="000000" w:sz="4" w:space="0"/>
              <w:right w:val="single" w:color="000000" w:sz="4" w:space="0"/>
            </w:tcBorders>
            <w:vAlign w:val="center"/>
          </w:tcPr>
          <w:p>
            <w:pPr>
              <w:widowControl/>
              <w:numPr>
                <w:ilvl w:val="0"/>
                <w:numId w:val="0"/>
              </w:numPr>
              <w:spacing w:line="300" w:lineRule="exact"/>
              <w:jc w:val="left"/>
              <w:textAlignment w:val="center"/>
              <w:rPr>
                <w:rFonts w:hint="default" w:ascii="宋体" w:hAnsi="宋体" w:cs="宋体"/>
                <w:color w:val="auto"/>
                <w:sz w:val="22"/>
                <w:szCs w:val="21"/>
                <w:lang w:val="en-US" w:eastAsia="zh-CN"/>
              </w:rPr>
            </w:pPr>
            <w:r>
              <w:rPr>
                <w:rFonts w:hint="eastAsia" w:ascii="宋体" w:hAnsi="宋体" w:cs="宋体"/>
                <w:color w:val="auto"/>
                <w:sz w:val="22"/>
                <w:szCs w:val="21"/>
                <w:lang w:val="en-US" w:eastAsia="zh-CN"/>
              </w:rPr>
              <w:t>老旧小区改造资金管理筹集情况</w:t>
            </w:r>
          </w:p>
        </w:tc>
        <w:tc>
          <w:tcPr>
            <w:tcW w:w="6593" w:type="dxa"/>
            <w:tcBorders>
              <w:top w:val="single" w:color="000000" w:sz="4" w:space="0"/>
              <w:left w:val="single" w:color="000000" w:sz="4" w:space="0"/>
              <w:bottom w:val="single" w:color="000000" w:sz="4" w:space="0"/>
              <w:right w:val="single" w:color="auto" w:sz="4" w:space="0"/>
            </w:tcBorders>
            <w:vAlign w:val="center"/>
          </w:tcPr>
          <w:p>
            <w:pPr>
              <w:widowControl/>
              <w:numPr>
                <w:ilvl w:val="0"/>
                <w:numId w:val="0"/>
              </w:numPr>
              <w:spacing w:line="300" w:lineRule="exact"/>
              <w:jc w:val="left"/>
              <w:textAlignment w:val="center"/>
              <w:rPr>
                <w:rFonts w:hint="eastAsia" w:ascii="宋体" w:hAnsi="宋体" w:cs="宋体"/>
                <w:color w:val="auto"/>
                <w:sz w:val="22"/>
                <w:szCs w:val="21"/>
                <w:lang w:val="en-US" w:eastAsia="zh-CN"/>
              </w:rPr>
            </w:pPr>
            <w:r>
              <w:rPr>
                <w:rFonts w:hint="eastAsia" w:ascii="宋体" w:hAnsi="宋体" w:cs="宋体"/>
                <w:color w:val="auto"/>
                <w:sz w:val="22"/>
                <w:szCs w:val="21"/>
                <w:lang w:val="en-US" w:eastAsia="zh-CN"/>
              </w:rPr>
              <w:t>1.按照财务管理要求，设置专</w:t>
            </w:r>
            <w:bookmarkStart w:id="0" w:name="_GoBack"/>
            <w:bookmarkEnd w:id="0"/>
            <w:r>
              <w:rPr>
                <w:rFonts w:hint="eastAsia" w:ascii="宋体" w:hAnsi="宋体" w:cs="宋体"/>
                <w:color w:val="auto"/>
                <w:sz w:val="22"/>
                <w:szCs w:val="21"/>
                <w:lang w:val="en-US" w:eastAsia="zh-CN"/>
              </w:rPr>
              <w:t>账核算，使用手续规范的，得1.5分；                                                 2.制定保障资金安全及规范资金管理的措施或办法的，得1.5分；                                                 3.适时组织开展了资金专项督查的，得1分；</w:t>
            </w:r>
          </w:p>
          <w:p>
            <w:pPr>
              <w:widowControl/>
              <w:numPr>
                <w:ilvl w:val="0"/>
                <w:numId w:val="0"/>
              </w:numPr>
              <w:spacing w:line="300" w:lineRule="exact"/>
              <w:jc w:val="left"/>
              <w:textAlignment w:val="center"/>
              <w:rPr>
                <w:rFonts w:hint="default" w:ascii="宋体" w:hAnsi="宋体" w:cs="宋体"/>
                <w:color w:val="auto"/>
                <w:sz w:val="22"/>
                <w:szCs w:val="21"/>
                <w:lang w:val="en-US" w:eastAsia="zh-CN"/>
              </w:rPr>
            </w:pPr>
            <w:r>
              <w:rPr>
                <w:rFonts w:hint="eastAsia" w:ascii="宋体" w:hAnsi="宋体" w:cs="宋体"/>
                <w:color w:val="auto"/>
                <w:sz w:val="22"/>
                <w:szCs w:val="21"/>
                <w:lang w:val="en-US" w:eastAsia="zh-CN"/>
              </w:rPr>
              <w:t>4.市、县财政安排补助资金用于城镇老旧小区改造（1），积极通过发行地方政府专项债券或一般债券用于城镇老旧小区改造，鼓励改造项目通过金融机构贷款、债券融资等方式筹集资金的（1），得2分；</w:t>
            </w:r>
          </w:p>
          <w:p>
            <w:pPr>
              <w:widowControl/>
              <w:numPr>
                <w:ilvl w:val="0"/>
                <w:numId w:val="0"/>
              </w:numPr>
              <w:spacing w:line="300" w:lineRule="exact"/>
              <w:jc w:val="left"/>
              <w:textAlignment w:val="center"/>
              <w:rPr>
                <w:rFonts w:hint="default" w:ascii="宋体" w:hAnsi="宋体" w:cs="宋体"/>
                <w:color w:val="auto"/>
                <w:sz w:val="22"/>
                <w:szCs w:val="21"/>
                <w:lang w:val="en-US" w:eastAsia="zh-CN"/>
              </w:rPr>
            </w:pPr>
            <w:r>
              <w:rPr>
                <w:rFonts w:hint="eastAsia" w:ascii="宋体" w:hAnsi="宋体" w:cs="宋体"/>
                <w:color w:val="auto"/>
                <w:sz w:val="22"/>
                <w:szCs w:val="21"/>
                <w:lang w:val="en-US" w:eastAsia="zh-CN"/>
              </w:rPr>
              <w:t>5.积极引导企业、产权单位（原产权单位）等社会力量及居民出资（1），引导专业经营单位出资的（0.5）,得1.5分。</w:t>
            </w:r>
          </w:p>
        </w:tc>
        <w:tc>
          <w:tcPr>
            <w:tcW w:w="2707"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hint="eastAsia" w:ascii="宋体" w:hAnsi="宋体" w:cs="宋体"/>
                <w:color w:val="auto"/>
                <w:sz w:val="22"/>
                <w:szCs w:val="21"/>
                <w:lang w:val="en-US" w:eastAsia="zh-CN"/>
              </w:rPr>
            </w:pPr>
            <w:r>
              <w:rPr>
                <w:rFonts w:hint="eastAsia" w:ascii="宋体" w:hAnsi="宋体" w:cs="宋体"/>
                <w:color w:val="auto"/>
                <w:sz w:val="21"/>
                <w:szCs w:val="21"/>
                <w:lang w:val="en-US" w:eastAsia="zh-CN"/>
              </w:rPr>
              <w:t>1.</w:t>
            </w:r>
            <w:r>
              <w:rPr>
                <w:rFonts w:hint="eastAsia" w:ascii="宋体" w:hAnsi="宋体" w:cs="宋体"/>
                <w:color w:val="auto"/>
                <w:sz w:val="22"/>
                <w:szCs w:val="21"/>
                <w:lang w:val="en-US" w:eastAsia="zh-CN"/>
              </w:rPr>
              <w:t>按照财务管理要求，设置专账核算，使用手续规范</w:t>
            </w:r>
          </w:p>
          <w:p>
            <w:pPr>
              <w:widowControl/>
              <w:spacing w:line="300" w:lineRule="exact"/>
              <w:jc w:val="left"/>
              <w:rPr>
                <w:rFonts w:hint="eastAsia" w:ascii="宋体" w:hAnsi="宋体" w:cs="宋体"/>
                <w:color w:val="auto"/>
                <w:sz w:val="22"/>
                <w:szCs w:val="21"/>
                <w:lang w:val="en-US" w:eastAsia="zh-CN"/>
              </w:rPr>
            </w:pPr>
            <w:r>
              <w:rPr>
                <w:rFonts w:hint="eastAsia" w:ascii="宋体" w:hAnsi="宋体" w:cs="宋体"/>
                <w:color w:val="auto"/>
                <w:sz w:val="22"/>
                <w:szCs w:val="21"/>
                <w:lang w:val="en-US" w:eastAsia="zh-CN"/>
              </w:rPr>
              <w:t>2.制定保障资金安全及规范资金管理的措施或办法</w:t>
            </w:r>
          </w:p>
          <w:p>
            <w:pPr>
              <w:widowControl/>
              <w:spacing w:line="300" w:lineRule="exact"/>
              <w:ind w:right="237" w:rightChars="113"/>
              <w:jc w:val="left"/>
              <w:rPr>
                <w:rFonts w:hint="eastAsia" w:ascii="宋体" w:hAnsi="宋体" w:cs="宋体"/>
                <w:color w:val="auto"/>
                <w:sz w:val="22"/>
                <w:szCs w:val="21"/>
                <w:lang w:val="en-US" w:eastAsia="zh-CN"/>
              </w:rPr>
            </w:pPr>
            <w:r>
              <w:rPr>
                <w:rFonts w:hint="eastAsia" w:ascii="宋体" w:hAnsi="宋体" w:cs="宋体"/>
                <w:color w:val="auto"/>
                <w:sz w:val="22"/>
                <w:szCs w:val="21"/>
                <w:lang w:val="en-US" w:eastAsia="zh-CN"/>
              </w:rPr>
              <w:t>3..适时组织开展了资金</w:t>
            </w:r>
          </w:p>
          <w:p>
            <w:pPr>
              <w:widowControl/>
              <w:spacing w:line="300" w:lineRule="exact"/>
              <w:ind w:right="237" w:rightChars="113"/>
              <w:jc w:val="left"/>
              <w:rPr>
                <w:rFonts w:hint="eastAsia" w:ascii="宋体" w:hAnsi="宋体" w:cs="宋体"/>
                <w:color w:val="auto"/>
                <w:sz w:val="22"/>
                <w:szCs w:val="21"/>
                <w:lang w:val="en-US" w:eastAsia="zh-CN"/>
              </w:rPr>
            </w:pPr>
            <w:r>
              <w:rPr>
                <w:rFonts w:hint="eastAsia" w:ascii="宋体" w:hAnsi="宋体" w:cs="宋体"/>
                <w:color w:val="auto"/>
                <w:sz w:val="22"/>
                <w:szCs w:val="21"/>
                <w:lang w:val="en-US" w:eastAsia="zh-CN"/>
              </w:rPr>
              <w:t>专项督查</w:t>
            </w:r>
          </w:p>
          <w:p>
            <w:pPr>
              <w:widowControl/>
              <w:spacing w:line="300" w:lineRule="exact"/>
              <w:jc w:val="left"/>
              <w:rPr>
                <w:rFonts w:hint="default" w:ascii="宋体" w:hAnsi="宋体" w:cs="宋体"/>
                <w:color w:val="auto"/>
                <w:sz w:val="22"/>
                <w:szCs w:val="21"/>
                <w:lang w:val="en-US" w:eastAsia="zh-CN"/>
              </w:rPr>
            </w:pPr>
            <w:r>
              <w:rPr>
                <w:rFonts w:hint="eastAsia" w:ascii="宋体" w:hAnsi="宋体" w:cs="宋体"/>
                <w:color w:val="auto"/>
                <w:sz w:val="22"/>
                <w:szCs w:val="21"/>
                <w:lang w:val="en-US" w:eastAsia="zh-CN"/>
              </w:rPr>
              <w:t>4.市财政安排补助资金用于城镇老旧小区改造</w:t>
            </w:r>
          </w:p>
          <w:p>
            <w:pPr>
              <w:widowControl/>
              <w:spacing w:line="300" w:lineRule="exact"/>
              <w:jc w:val="left"/>
              <w:rPr>
                <w:rFonts w:hint="default" w:ascii="宋体" w:hAnsi="宋体" w:cs="宋体"/>
                <w:color w:val="auto"/>
                <w:sz w:val="22"/>
                <w:szCs w:val="21"/>
                <w:lang w:val="en-US" w:eastAsia="zh-CN"/>
              </w:rPr>
            </w:pPr>
            <w:r>
              <w:rPr>
                <w:rFonts w:hint="eastAsia" w:ascii="宋体" w:hAnsi="宋体" w:cs="宋体"/>
                <w:color w:val="auto"/>
                <w:sz w:val="22"/>
                <w:szCs w:val="21"/>
                <w:lang w:val="en-US" w:eastAsia="zh-CN"/>
              </w:rPr>
              <w:t>5.积极引导专业经营单位出资</w:t>
            </w:r>
          </w:p>
        </w:tc>
        <w:tc>
          <w:tcPr>
            <w:tcW w:w="972"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5" w:hRule="atLeast"/>
        </w:trPr>
        <w:tc>
          <w:tcPr>
            <w:tcW w:w="314" w:type="dxa"/>
            <w:vMerge w:val="restart"/>
            <w:tcBorders>
              <w:top w:val="single" w:color="000000" w:sz="4" w:space="0"/>
              <w:left w:val="single" w:color="000000" w:sz="4" w:space="0"/>
              <w:bottom w:val="single" w:color="000000" w:sz="4" w:space="0"/>
              <w:right w:val="single" w:color="000000" w:sz="4" w:space="0"/>
            </w:tcBorders>
            <w:vAlign w:val="center"/>
          </w:tcPr>
          <w:p>
            <w:pPr>
              <w:widowControl/>
              <w:numPr>
                <w:ilvl w:val="0"/>
                <w:numId w:val="0"/>
              </w:numPr>
              <w:spacing w:line="300" w:lineRule="exact"/>
              <w:jc w:val="center"/>
              <w:textAlignment w:val="center"/>
              <w:rPr>
                <w:rFonts w:hint="eastAsia" w:ascii="宋体" w:hAnsi="宋体" w:cs="宋体"/>
                <w:color w:val="auto"/>
                <w:sz w:val="22"/>
                <w:szCs w:val="21"/>
                <w:lang w:val="en-US" w:eastAsia="zh-CN"/>
              </w:rPr>
            </w:pPr>
            <w:r>
              <w:rPr>
                <w:rFonts w:hint="eastAsia" w:ascii="宋体" w:hAnsi="宋体" w:cs="宋体"/>
                <w:color w:val="auto"/>
                <w:sz w:val="22"/>
                <w:szCs w:val="21"/>
                <w:lang w:val="en-US" w:eastAsia="zh-CN"/>
              </w:rPr>
              <w:t>2</w:t>
            </w:r>
          </w:p>
        </w:tc>
        <w:tc>
          <w:tcPr>
            <w:tcW w:w="570" w:type="dxa"/>
            <w:vMerge w:val="restart"/>
            <w:tcBorders>
              <w:top w:val="single" w:color="000000" w:sz="4" w:space="0"/>
              <w:left w:val="single" w:color="000000" w:sz="4" w:space="0"/>
              <w:bottom w:val="single" w:color="000000" w:sz="4" w:space="0"/>
              <w:right w:val="single" w:color="000000" w:sz="4" w:space="0"/>
            </w:tcBorders>
            <w:vAlign w:val="center"/>
          </w:tcPr>
          <w:p>
            <w:pPr>
              <w:widowControl/>
              <w:numPr>
                <w:ilvl w:val="0"/>
                <w:numId w:val="0"/>
              </w:numPr>
              <w:spacing w:line="300" w:lineRule="exact"/>
              <w:jc w:val="center"/>
              <w:textAlignment w:val="center"/>
              <w:rPr>
                <w:rFonts w:hint="eastAsia" w:ascii="宋体" w:hAnsi="宋体" w:cs="宋体"/>
                <w:color w:val="auto"/>
                <w:sz w:val="22"/>
                <w:szCs w:val="21"/>
                <w:lang w:val="en-US" w:eastAsia="zh-CN"/>
              </w:rPr>
            </w:pPr>
            <w:r>
              <w:rPr>
                <w:rFonts w:hint="eastAsia" w:ascii="宋体" w:hAnsi="宋体" w:cs="宋体"/>
                <w:color w:val="auto"/>
                <w:sz w:val="22"/>
                <w:szCs w:val="21"/>
                <w:lang w:val="en-US" w:eastAsia="zh-CN"/>
              </w:rPr>
              <w:t>过程</w:t>
            </w:r>
            <w:r>
              <w:rPr>
                <w:rFonts w:hint="eastAsia" w:ascii="宋体" w:hAnsi="宋体" w:cs="宋体"/>
                <w:color w:val="auto"/>
                <w:sz w:val="22"/>
                <w:szCs w:val="21"/>
                <w:lang w:val="en-US" w:eastAsia="zh-CN"/>
              </w:rPr>
              <w:br w:type="textWrapping"/>
            </w:r>
            <w:r>
              <w:rPr>
                <w:rFonts w:hint="eastAsia" w:ascii="宋体" w:hAnsi="宋体" w:cs="宋体"/>
                <w:color w:val="auto"/>
                <w:sz w:val="22"/>
                <w:szCs w:val="21"/>
                <w:lang w:val="en-US" w:eastAsia="zh-CN"/>
              </w:rPr>
              <w:t>（25分）</w:t>
            </w:r>
          </w:p>
        </w:tc>
        <w:tc>
          <w:tcPr>
            <w:tcW w:w="732" w:type="dxa"/>
            <w:tcBorders>
              <w:top w:val="single" w:color="000000" w:sz="4" w:space="0"/>
              <w:left w:val="single" w:color="000000" w:sz="4" w:space="0"/>
              <w:bottom w:val="single" w:color="000000" w:sz="4" w:space="0"/>
              <w:right w:val="single" w:color="000000" w:sz="4" w:space="0"/>
            </w:tcBorders>
            <w:vAlign w:val="center"/>
          </w:tcPr>
          <w:p>
            <w:pPr>
              <w:widowControl/>
              <w:numPr>
                <w:ilvl w:val="0"/>
                <w:numId w:val="0"/>
              </w:numPr>
              <w:spacing w:line="300" w:lineRule="exact"/>
              <w:jc w:val="center"/>
              <w:textAlignment w:val="center"/>
              <w:rPr>
                <w:rFonts w:hint="eastAsia" w:ascii="宋体" w:hAnsi="宋体" w:cs="宋体"/>
                <w:color w:val="auto"/>
                <w:sz w:val="22"/>
                <w:szCs w:val="21"/>
                <w:lang w:val="en-US" w:eastAsia="zh-CN"/>
              </w:rPr>
            </w:pPr>
            <w:r>
              <w:rPr>
                <w:rFonts w:hint="eastAsia" w:ascii="宋体" w:hAnsi="宋体" w:cs="宋体"/>
                <w:color w:val="auto"/>
                <w:sz w:val="22"/>
                <w:szCs w:val="21"/>
                <w:lang w:val="en-US" w:eastAsia="zh-CN"/>
              </w:rPr>
              <w:t>项目实施</w:t>
            </w:r>
          </w:p>
        </w:tc>
        <w:tc>
          <w:tcPr>
            <w:tcW w:w="453" w:type="dxa"/>
            <w:tcBorders>
              <w:top w:val="single" w:color="000000" w:sz="4" w:space="0"/>
              <w:left w:val="single" w:color="000000" w:sz="4" w:space="0"/>
              <w:bottom w:val="single" w:color="000000" w:sz="4" w:space="0"/>
              <w:right w:val="single" w:color="000000" w:sz="4" w:space="0"/>
            </w:tcBorders>
            <w:vAlign w:val="center"/>
          </w:tcPr>
          <w:p>
            <w:pPr>
              <w:widowControl/>
              <w:numPr>
                <w:ilvl w:val="0"/>
                <w:numId w:val="0"/>
              </w:numPr>
              <w:spacing w:line="300" w:lineRule="exact"/>
              <w:jc w:val="center"/>
              <w:textAlignment w:val="center"/>
              <w:rPr>
                <w:rFonts w:hint="default" w:ascii="宋体" w:hAnsi="宋体" w:cs="宋体"/>
                <w:color w:val="auto"/>
                <w:sz w:val="22"/>
                <w:szCs w:val="21"/>
                <w:lang w:val="en-US" w:eastAsia="zh-CN"/>
              </w:rPr>
            </w:pPr>
            <w:r>
              <w:rPr>
                <w:rFonts w:hint="eastAsia" w:ascii="宋体" w:hAnsi="宋体" w:cs="宋体"/>
                <w:color w:val="auto"/>
                <w:sz w:val="22"/>
                <w:szCs w:val="21"/>
                <w:lang w:val="en-US" w:eastAsia="zh-CN"/>
              </w:rPr>
              <w:t>13分</w:t>
            </w:r>
          </w:p>
        </w:tc>
        <w:tc>
          <w:tcPr>
            <w:tcW w:w="1715" w:type="dxa"/>
            <w:tcBorders>
              <w:top w:val="single" w:color="000000" w:sz="4" w:space="0"/>
              <w:left w:val="single" w:color="000000" w:sz="4" w:space="0"/>
              <w:bottom w:val="single" w:color="000000" w:sz="4" w:space="0"/>
              <w:right w:val="single" w:color="000000" w:sz="4" w:space="0"/>
            </w:tcBorders>
            <w:vAlign w:val="center"/>
          </w:tcPr>
          <w:p>
            <w:pPr>
              <w:widowControl/>
              <w:numPr>
                <w:ilvl w:val="0"/>
                <w:numId w:val="0"/>
              </w:numPr>
              <w:spacing w:line="300" w:lineRule="exact"/>
              <w:jc w:val="left"/>
              <w:textAlignment w:val="center"/>
              <w:rPr>
                <w:rFonts w:hint="eastAsia" w:ascii="宋体" w:hAnsi="宋体" w:cs="宋体"/>
                <w:color w:val="auto"/>
                <w:sz w:val="22"/>
                <w:szCs w:val="21"/>
                <w:lang w:val="en-US" w:eastAsia="zh-CN"/>
              </w:rPr>
            </w:pPr>
            <w:r>
              <w:rPr>
                <w:rFonts w:hint="eastAsia" w:ascii="宋体" w:hAnsi="宋体" w:cs="宋体"/>
                <w:color w:val="auto"/>
                <w:sz w:val="22"/>
                <w:szCs w:val="21"/>
                <w:lang w:val="en-US" w:eastAsia="zh-CN"/>
              </w:rPr>
              <w:t>项目按照规范程序进行科学实施情况</w:t>
            </w:r>
          </w:p>
        </w:tc>
        <w:tc>
          <w:tcPr>
            <w:tcW w:w="6593" w:type="dxa"/>
            <w:tcBorders>
              <w:top w:val="single" w:color="000000" w:sz="4" w:space="0"/>
              <w:left w:val="single" w:color="000000" w:sz="4" w:space="0"/>
              <w:bottom w:val="single" w:color="000000" w:sz="4" w:space="0"/>
              <w:right w:val="single" w:color="000000" w:sz="4" w:space="0"/>
            </w:tcBorders>
            <w:vAlign w:val="center"/>
          </w:tcPr>
          <w:p>
            <w:pPr>
              <w:widowControl/>
              <w:numPr>
                <w:ilvl w:val="0"/>
                <w:numId w:val="0"/>
              </w:numPr>
              <w:spacing w:line="300" w:lineRule="exact"/>
              <w:jc w:val="left"/>
              <w:textAlignment w:val="center"/>
              <w:rPr>
                <w:rFonts w:hint="default" w:ascii="宋体" w:hAnsi="宋体" w:cs="宋体"/>
                <w:color w:val="auto"/>
                <w:sz w:val="22"/>
                <w:szCs w:val="21"/>
                <w:lang w:val="en-US" w:eastAsia="zh-CN"/>
              </w:rPr>
            </w:pPr>
            <w:r>
              <w:rPr>
                <w:rFonts w:hint="eastAsia" w:ascii="宋体" w:hAnsi="宋体" w:cs="宋体"/>
                <w:color w:val="auto"/>
                <w:sz w:val="22"/>
                <w:szCs w:val="21"/>
                <w:lang w:val="en-US" w:eastAsia="zh-CN"/>
              </w:rPr>
              <w:t>1.改造项目符合招标、设计规范（2），按计划实施并符合技术规范的（2），市、县年度改造计划均与水电气热信等相关专营设施增设或改造计划有效衔接并于开工改造前就水电气热信等设施形成统筹施工方案的（2），得6分；</w:t>
            </w:r>
            <w:r>
              <w:rPr>
                <w:rFonts w:hint="eastAsia" w:ascii="宋体" w:hAnsi="宋体" w:cs="宋体"/>
                <w:color w:val="auto"/>
                <w:sz w:val="22"/>
                <w:szCs w:val="21"/>
                <w:lang w:val="en-US" w:eastAsia="zh-CN"/>
              </w:rPr>
              <w:br w:type="textWrapping"/>
            </w:r>
            <w:r>
              <w:rPr>
                <w:rFonts w:hint="eastAsia" w:ascii="宋体" w:hAnsi="宋体" w:cs="宋体"/>
                <w:color w:val="auto"/>
                <w:sz w:val="22"/>
                <w:szCs w:val="21"/>
                <w:lang w:val="en-US" w:eastAsia="zh-CN"/>
              </w:rPr>
              <w:t>2.改造后小区的公共区域水电气热信等专营设施设备产权依照法定程序移交给专业经营单位，由其负责维护管理的，得2分</w:t>
            </w:r>
          </w:p>
          <w:p>
            <w:pPr>
              <w:widowControl/>
              <w:numPr>
                <w:ilvl w:val="0"/>
                <w:numId w:val="0"/>
              </w:numPr>
              <w:spacing w:line="300" w:lineRule="exact"/>
              <w:jc w:val="left"/>
              <w:textAlignment w:val="center"/>
              <w:rPr>
                <w:rFonts w:hint="eastAsia" w:ascii="宋体" w:hAnsi="宋体" w:cs="宋体"/>
                <w:color w:val="auto"/>
                <w:sz w:val="22"/>
                <w:szCs w:val="21"/>
                <w:lang w:val="en-US" w:eastAsia="zh-CN"/>
              </w:rPr>
            </w:pPr>
            <w:r>
              <w:rPr>
                <w:rFonts w:hint="eastAsia" w:ascii="宋体" w:hAnsi="宋体" w:cs="宋体"/>
                <w:color w:val="auto"/>
                <w:sz w:val="22"/>
                <w:szCs w:val="21"/>
                <w:lang w:val="en-US" w:eastAsia="zh-CN"/>
              </w:rPr>
              <w:t>3.改造后小区实施物业管理（1），引入专业化物业服务企业（2），建立物业长效管理机制的（2），得5分。</w:t>
            </w:r>
          </w:p>
        </w:tc>
        <w:tc>
          <w:tcPr>
            <w:tcW w:w="2707" w:type="dxa"/>
            <w:tcBorders>
              <w:top w:val="single" w:color="auto" w:sz="4" w:space="0"/>
              <w:left w:val="single" w:color="000000" w:sz="4" w:space="0"/>
              <w:bottom w:val="single" w:color="000000" w:sz="4" w:space="0"/>
              <w:right w:val="single" w:color="000000" w:sz="4" w:space="0"/>
            </w:tcBorders>
            <w:vAlign w:val="center"/>
          </w:tcPr>
          <w:p>
            <w:pPr>
              <w:widowControl/>
              <w:spacing w:line="300" w:lineRule="exact"/>
              <w:jc w:val="left"/>
              <w:rPr>
                <w:rFonts w:hint="eastAsia" w:ascii="宋体" w:hAnsi="宋体" w:cs="宋体"/>
                <w:color w:val="auto"/>
                <w:sz w:val="22"/>
                <w:szCs w:val="21"/>
                <w:lang w:val="en-US" w:eastAsia="zh-CN"/>
              </w:rPr>
            </w:pPr>
            <w:r>
              <w:rPr>
                <w:rFonts w:hint="eastAsia" w:ascii="宋体" w:hAnsi="宋体" w:cs="宋体"/>
                <w:color w:val="auto"/>
                <w:sz w:val="21"/>
                <w:szCs w:val="21"/>
                <w:lang w:val="en-US" w:eastAsia="zh-CN"/>
              </w:rPr>
              <w:t>1.</w:t>
            </w:r>
            <w:r>
              <w:rPr>
                <w:rFonts w:hint="eastAsia" w:ascii="宋体" w:hAnsi="宋体" w:cs="宋体"/>
                <w:color w:val="auto"/>
                <w:sz w:val="22"/>
                <w:szCs w:val="21"/>
                <w:lang w:val="en-US" w:eastAsia="zh-CN"/>
              </w:rPr>
              <w:t>改造项目符合招标、设计规范，按计划实施并符合技术规范，改造计划均与水电气热信等相关专营设施增设或改造计划有效衔接并于开工改造前就水电气热信等设施形成统筹施工方案</w:t>
            </w:r>
          </w:p>
          <w:p>
            <w:pPr>
              <w:widowControl/>
              <w:spacing w:line="300" w:lineRule="exact"/>
              <w:jc w:val="left"/>
              <w:rPr>
                <w:rFonts w:hint="eastAsia" w:ascii="宋体" w:hAnsi="宋体" w:cs="宋体"/>
                <w:color w:val="auto"/>
                <w:sz w:val="22"/>
                <w:szCs w:val="21"/>
                <w:lang w:val="en-US" w:eastAsia="zh-CN"/>
              </w:rPr>
            </w:pPr>
            <w:r>
              <w:rPr>
                <w:rFonts w:hint="eastAsia" w:ascii="宋体" w:hAnsi="宋体" w:cs="宋体"/>
                <w:color w:val="auto"/>
                <w:sz w:val="22"/>
                <w:szCs w:val="21"/>
                <w:lang w:val="en-US" w:eastAsia="zh-CN"/>
              </w:rPr>
              <w:t>2.改造后小区的公共区域水电气热信等专营设施设备产权依照法定程序移交给专业经营单位，由其负责维护管理</w:t>
            </w:r>
          </w:p>
          <w:p>
            <w:pPr>
              <w:widowControl/>
              <w:spacing w:line="300" w:lineRule="exact"/>
              <w:jc w:val="left"/>
              <w:rPr>
                <w:rFonts w:hint="default" w:ascii="宋体" w:hAnsi="宋体" w:cs="宋体"/>
                <w:color w:val="auto"/>
                <w:sz w:val="22"/>
                <w:szCs w:val="21"/>
                <w:lang w:val="en-US" w:eastAsia="zh-CN"/>
              </w:rPr>
            </w:pPr>
            <w:r>
              <w:rPr>
                <w:rFonts w:hint="eastAsia" w:ascii="宋体" w:hAnsi="宋体" w:cs="宋体"/>
                <w:color w:val="auto"/>
                <w:sz w:val="22"/>
                <w:szCs w:val="21"/>
                <w:lang w:val="en-US" w:eastAsia="zh-CN"/>
              </w:rPr>
              <w:t>3.改造后小区实施物业管理,建立物业长效管理机制</w:t>
            </w:r>
          </w:p>
          <w:p>
            <w:pPr>
              <w:widowControl/>
              <w:spacing w:line="300" w:lineRule="exact"/>
              <w:jc w:val="left"/>
              <w:rPr>
                <w:rFonts w:hint="default" w:ascii="宋体" w:hAnsi="宋体" w:cs="宋体"/>
                <w:color w:val="auto"/>
                <w:sz w:val="22"/>
                <w:szCs w:val="21"/>
                <w:lang w:val="en-US" w:eastAsia="zh-CN"/>
              </w:rPr>
            </w:pPr>
          </w:p>
        </w:tc>
        <w:tc>
          <w:tcPr>
            <w:tcW w:w="972" w:type="dxa"/>
            <w:tcBorders>
              <w:top w:val="single" w:color="auto" w:sz="4" w:space="0"/>
              <w:left w:val="single" w:color="000000" w:sz="4" w:space="0"/>
              <w:bottom w:val="single" w:color="000000" w:sz="4" w:space="0"/>
              <w:right w:val="single" w:color="000000" w:sz="4" w:space="0"/>
            </w:tcBorders>
            <w:vAlign w:val="center"/>
          </w:tcPr>
          <w:p>
            <w:pPr>
              <w:widowControl/>
              <w:spacing w:line="300" w:lineRule="exact"/>
              <w:jc w:val="center"/>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050" w:hRule="atLeast"/>
        </w:trPr>
        <w:tc>
          <w:tcPr>
            <w:tcW w:w="314" w:type="dxa"/>
            <w:vMerge w:val="continue"/>
            <w:tcBorders>
              <w:left w:val="single" w:color="000000" w:sz="4" w:space="0"/>
              <w:right w:val="single" w:color="000000" w:sz="4" w:space="0"/>
            </w:tcBorders>
            <w:vAlign w:val="center"/>
          </w:tcPr>
          <w:p>
            <w:pPr>
              <w:widowControl/>
              <w:numPr>
                <w:ilvl w:val="0"/>
                <w:numId w:val="0"/>
              </w:numPr>
              <w:spacing w:line="300" w:lineRule="exact"/>
              <w:jc w:val="center"/>
              <w:textAlignment w:val="center"/>
              <w:rPr>
                <w:rFonts w:hint="eastAsia" w:ascii="宋体" w:hAnsi="宋体" w:cs="宋体"/>
                <w:color w:val="auto"/>
                <w:sz w:val="22"/>
                <w:szCs w:val="21"/>
                <w:lang w:val="en-US" w:eastAsia="zh-CN"/>
              </w:rPr>
            </w:pPr>
          </w:p>
        </w:tc>
        <w:tc>
          <w:tcPr>
            <w:tcW w:w="570" w:type="dxa"/>
            <w:vMerge w:val="continue"/>
            <w:tcBorders>
              <w:left w:val="single" w:color="000000" w:sz="4" w:space="0"/>
              <w:right w:val="single" w:color="000000" w:sz="4" w:space="0"/>
            </w:tcBorders>
            <w:vAlign w:val="center"/>
          </w:tcPr>
          <w:p>
            <w:pPr>
              <w:widowControl/>
              <w:numPr>
                <w:ilvl w:val="0"/>
                <w:numId w:val="0"/>
              </w:numPr>
              <w:spacing w:line="300" w:lineRule="exact"/>
              <w:jc w:val="center"/>
              <w:textAlignment w:val="center"/>
              <w:rPr>
                <w:rFonts w:hint="eastAsia" w:ascii="宋体" w:hAnsi="宋体" w:cs="宋体"/>
                <w:color w:val="auto"/>
                <w:sz w:val="22"/>
                <w:szCs w:val="21"/>
                <w:lang w:val="en-US" w:eastAsia="zh-CN"/>
              </w:rPr>
            </w:pPr>
          </w:p>
        </w:tc>
        <w:tc>
          <w:tcPr>
            <w:tcW w:w="732" w:type="dxa"/>
            <w:tcBorders>
              <w:top w:val="single" w:color="000000" w:sz="4" w:space="0"/>
              <w:left w:val="single" w:color="000000" w:sz="4" w:space="0"/>
              <w:bottom w:val="single" w:color="000000" w:sz="4" w:space="0"/>
              <w:right w:val="single" w:color="000000" w:sz="4" w:space="0"/>
            </w:tcBorders>
            <w:vAlign w:val="center"/>
          </w:tcPr>
          <w:p>
            <w:pPr>
              <w:widowControl/>
              <w:numPr>
                <w:ilvl w:val="0"/>
                <w:numId w:val="0"/>
              </w:numPr>
              <w:spacing w:line="300" w:lineRule="exact"/>
              <w:jc w:val="center"/>
              <w:textAlignment w:val="center"/>
              <w:rPr>
                <w:rFonts w:hint="eastAsia" w:ascii="宋体" w:hAnsi="宋体" w:cs="宋体"/>
                <w:color w:val="auto"/>
                <w:sz w:val="22"/>
                <w:szCs w:val="21"/>
                <w:lang w:val="en-US" w:eastAsia="zh-CN"/>
              </w:rPr>
            </w:pPr>
            <w:r>
              <w:rPr>
                <w:rFonts w:hint="eastAsia" w:ascii="宋体" w:hAnsi="宋体" w:cs="宋体"/>
                <w:color w:val="auto"/>
                <w:sz w:val="22"/>
                <w:szCs w:val="21"/>
                <w:lang w:val="en-US" w:eastAsia="zh-CN"/>
              </w:rPr>
              <w:t>项目监管</w:t>
            </w:r>
          </w:p>
        </w:tc>
        <w:tc>
          <w:tcPr>
            <w:tcW w:w="453" w:type="dxa"/>
            <w:tcBorders>
              <w:top w:val="single" w:color="000000" w:sz="4" w:space="0"/>
              <w:left w:val="single" w:color="000000" w:sz="4" w:space="0"/>
              <w:bottom w:val="single" w:color="000000" w:sz="4" w:space="0"/>
              <w:right w:val="single" w:color="000000" w:sz="4" w:space="0"/>
            </w:tcBorders>
            <w:vAlign w:val="center"/>
          </w:tcPr>
          <w:p>
            <w:pPr>
              <w:widowControl/>
              <w:numPr>
                <w:ilvl w:val="0"/>
                <w:numId w:val="0"/>
              </w:numPr>
              <w:spacing w:line="300" w:lineRule="exact"/>
              <w:jc w:val="center"/>
              <w:textAlignment w:val="center"/>
              <w:rPr>
                <w:rFonts w:hint="default" w:ascii="宋体" w:hAnsi="宋体" w:cs="宋体"/>
                <w:color w:val="auto"/>
                <w:sz w:val="22"/>
                <w:szCs w:val="21"/>
                <w:lang w:val="en-US" w:eastAsia="zh-CN"/>
              </w:rPr>
            </w:pPr>
            <w:r>
              <w:rPr>
                <w:rFonts w:hint="eastAsia" w:ascii="宋体" w:hAnsi="宋体" w:cs="宋体"/>
                <w:color w:val="auto"/>
                <w:sz w:val="22"/>
                <w:szCs w:val="21"/>
                <w:lang w:val="en-US" w:eastAsia="zh-CN"/>
              </w:rPr>
              <w:t>7分</w:t>
            </w:r>
          </w:p>
        </w:tc>
        <w:tc>
          <w:tcPr>
            <w:tcW w:w="1715" w:type="dxa"/>
            <w:tcBorders>
              <w:top w:val="single" w:color="000000" w:sz="4" w:space="0"/>
              <w:left w:val="single" w:color="000000" w:sz="4" w:space="0"/>
              <w:bottom w:val="single" w:color="000000" w:sz="4" w:space="0"/>
              <w:right w:val="single" w:color="000000" w:sz="4" w:space="0"/>
            </w:tcBorders>
            <w:vAlign w:val="center"/>
          </w:tcPr>
          <w:p>
            <w:pPr>
              <w:widowControl/>
              <w:numPr>
                <w:ilvl w:val="0"/>
                <w:numId w:val="0"/>
              </w:numPr>
              <w:spacing w:line="300" w:lineRule="exact"/>
              <w:jc w:val="left"/>
              <w:textAlignment w:val="center"/>
              <w:rPr>
                <w:rFonts w:hint="default" w:ascii="宋体" w:hAnsi="宋体" w:cs="宋体"/>
                <w:color w:val="auto"/>
                <w:sz w:val="22"/>
                <w:szCs w:val="21"/>
                <w:lang w:val="en-US" w:eastAsia="zh-CN"/>
              </w:rPr>
            </w:pPr>
            <w:r>
              <w:rPr>
                <w:rFonts w:hint="eastAsia" w:ascii="宋体" w:hAnsi="宋体" w:cs="宋体"/>
                <w:color w:val="auto"/>
                <w:sz w:val="22"/>
                <w:szCs w:val="21"/>
                <w:lang w:val="en-US" w:eastAsia="zh-CN"/>
              </w:rPr>
              <w:t>老旧小区改造过程中全方位监督管理情况</w:t>
            </w:r>
          </w:p>
        </w:tc>
        <w:tc>
          <w:tcPr>
            <w:tcW w:w="6593" w:type="dxa"/>
            <w:tcBorders>
              <w:top w:val="single" w:color="000000" w:sz="4" w:space="0"/>
              <w:left w:val="single" w:color="000000" w:sz="4" w:space="0"/>
              <w:bottom w:val="single" w:color="000000" w:sz="4" w:space="0"/>
              <w:right w:val="single" w:color="000000" w:sz="4" w:space="0"/>
            </w:tcBorders>
            <w:vAlign w:val="center"/>
          </w:tcPr>
          <w:p>
            <w:pPr>
              <w:widowControl/>
              <w:numPr>
                <w:ilvl w:val="0"/>
                <w:numId w:val="0"/>
              </w:numPr>
              <w:spacing w:line="300" w:lineRule="exact"/>
              <w:jc w:val="left"/>
              <w:textAlignment w:val="center"/>
              <w:rPr>
                <w:rFonts w:hint="default" w:ascii="宋体" w:hAnsi="宋体" w:cs="宋体"/>
                <w:color w:val="auto"/>
                <w:sz w:val="22"/>
                <w:szCs w:val="21"/>
                <w:lang w:val="en-US" w:eastAsia="zh-CN"/>
              </w:rPr>
            </w:pPr>
            <w:r>
              <w:rPr>
                <w:rFonts w:hint="eastAsia" w:ascii="宋体" w:hAnsi="宋体" w:cs="宋体"/>
                <w:color w:val="auto"/>
                <w:sz w:val="22"/>
                <w:szCs w:val="21"/>
                <w:lang w:val="en-US" w:eastAsia="zh-CN"/>
              </w:rPr>
              <w:t>1.项目改造加强质量安全监管，压实各参建单位质量安全责任，无质量安全问题的，得5分；</w:t>
            </w:r>
          </w:p>
          <w:p>
            <w:pPr>
              <w:widowControl/>
              <w:numPr>
                <w:ilvl w:val="0"/>
                <w:numId w:val="0"/>
              </w:numPr>
              <w:spacing w:line="300" w:lineRule="exact"/>
              <w:jc w:val="left"/>
              <w:textAlignment w:val="center"/>
              <w:rPr>
                <w:rFonts w:hint="default" w:ascii="宋体" w:hAnsi="宋体" w:cs="宋体"/>
                <w:color w:val="auto"/>
                <w:sz w:val="22"/>
                <w:szCs w:val="21"/>
                <w:lang w:val="en-US" w:eastAsia="zh-CN"/>
              </w:rPr>
            </w:pPr>
            <w:r>
              <w:rPr>
                <w:rFonts w:hint="eastAsia" w:ascii="宋体" w:hAnsi="宋体" w:cs="宋体"/>
                <w:color w:val="auto"/>
                <w:sz w:val="22"/>
                <w:szCs w:val="21"/>
                <w:lang w:val="en-US" w:eastAsia="zh-CN"/>
              </w:rPr>
              <w:t>2.居民参与项目改造方案制定、配合施工、参与过程监督、后续管理的，得2分；</w:t>
            </w:r>
          </w:p>
          <w:p>
            <w:pPr>
              <w:widowControl/>
              <w:numPr>
                <w:ilvl w:val="0"/>
                <w:numId w:val="0"/>
              </w:numPr>
              <w:spacing w:line="300" w:lineRule="exact"/>
              <w:jc w:val="left"/>
              <w:textAlignment w:val="center"/>
              <w:rPr>
                <w:rFonts w:hint="default" w:ascii="宋体" w:hAnsi="宋体" w:cs="宋体"/>
                <w:color w:val="auto"/>
                <w:sz w:val="22"/>
                <w:szCs w:val="21"/>
                <w:lang w:val="en-US" w:eastAsia="zh-CN"/>
              </w:rPr>
            </w:pPr>
            <w:r>
              <w:rPr>
                <w:rFonts w:hint="eastAsia" w:ascii="宋体" w:hAnsi="宋体" w:cs="宋体"/>
                <w:color w:val="auto"/>
                <w:sz w:val="22"/>
                <w:szCs w:val="21"/>
                <w:lang w:val="en-US" w:eastAsia="zh-CN"/>
              </w:rPr>
              <w:t>3.以城镇老旧小区改造为名，随意拆除老建筑、搬迁居民、砍伐老树的，发现一例扣1分（此项共计3分）；</w:t>
            </w:r>
          </w:p>
          <w:p>
            <w:pPr>
              <w:widowControl/>
              <w:numPr>
                <w:ilvl w:val="0"/>
                <w:numId w:val="0"/>
              </w:numPr>
              <w:spacing w:line="300" w:lineRule="exact"/>
              <w:jc w:val="left"/>
              <w:textAlignment w:val="center"/>
              <w:rPr>
                <w:rFonts w:hint="default" w:ascii="宋体" w:hAnsi="宋体" w:cs="宋体"/>
                <w:color w:val="auto"/>
                <w:sz w:val="22"/>
                <w:szCs w:val="21"/>
                <w:lang w:val="en-US" w:eastAsia="zh-CN"/>
              </w:rPr>
            </w:pPr>
            <w:r>
              <w:rPr>
                <w:rFonts w:hint="eastAsia" w:ascii="宋体" w:hAnsi="宋体" w:cs="宋体"/>
                <w:color w:val="auto"/>
                <w:sz w:val="22"/>
                <w:szCs w:val="21"/>
                <w:lang w:val="en-US" w:eastAsia="zh-CN"/>
              </w:rPr>
              <w:t>4.审计、国务院大督查发现问题未按规定及时核查整改到位的，发现一例扣1分（此项共计4分）。</w:t>
            </w:r>
          </w:p>
        </w:tc>
        <w:tc>
          <w:tcPr>
            <w:tcW w:w="2707"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rPr>
                <w:rFonts w:hint="eastAsia" w:ascii="宋体" w:hAnsi="宋体" w:cs="宋体"/>
                <w:color w:val="auto"/>
                <w:sz w:val="22"/>
                <w:szCs w:val="21"/>
                <w:lang w:val="en-US" w:eastAsia="zh-CN"/>
              </w:rPr>
            </w:pPr>
            <w:r>
              <w:rPr>
                <w:rFonts w:hint="eastAsia" w:ascii="宋体" w:hAnsi="宋体" w:cs="宋体"/>
                <w:color w:val="auto"/>
                <w:sz w:val="21"/>
                <w:szCs w:val="21"/>
                <w:lang w:val="en-US" w:eastAsia="zh-CN"/>
              </w:rPr>
              <w:t>1.</w:t>
            </w:r>
            <w:r>
              <w:rPr>
                <w:rFonts w:hint="eastAsia" w:ascii="宋体" w:hAnsi="宋体" w:cs="宋体"/>
                <w:color w:val="auto"/>
                <w:sz w:val="22"/>
                <w:szCs w:val="21"/>
                <w:lang w:val="en-US" w:eastAsia="zh-CN"/>
              </w:rPr>
              <w:t>项目改造加强质量安全监管，压实各参建单位质量安全责任，无质量安全问题</w:t>
            </w:r>
          </w:p>
          <w:p>
            <w:pPr>
              <w:widowControl/>
              <w:spacing w:line="300" w:lineRule="exact"/>
              <w:jc w:val="left"/>
              <w:rPr>
                <w:rFonts w:hint="eastAsia" w:ascii="宋体" w:hAnsi="宋体" w:cs="宋体"/>
                <w:color w:val="auto"/>
                <w:sz w:val="22"/>
                <w:szCs w:val="21"/>
                <w:lang w:val="en-US" w:eastAsia="zh-CN"/>
              </w:rPr>
            </w:pPr>
            <w:r>
              <w:rPr>
                <w:rFonts w:hint="eastAsia" w:ascii="宋体" w:hAnsi="宋体" w:cs="宋体"/>
                <w:color w:val="auto"/>
                <w:sz w:val="22"/>
                <w:szCs w:val="21"/>
                <w:lang w:val="en-US" w:eastAsia="zh-CN"/>
              </w:rPr>
              <w:t>2.居民参与项目改造方案制定、配合施工、参与过程监督、后续管理</w:t>
            </w:r>
          </w:p>
          <w:p>
            <w:pPr>
              <w:widowControl/>
              <w:spacing w:line="300" w:lineRule="exact"/>
              <w:jc w:val="left"/>
              <w:rPr>
                <w:rFonts w:hint="default" w:ascii="宋体" w:hAnsi="宋体" w:cs="宋体"/>
                <w:color w:val="auto"/>
                <w:sz w:val="22"/>
                <w:szCs w:val="21"/>
                <w:lang w:val="en-US" w:eastAsia="zh-CN"/>
              </w:rPr>
            </w:pP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215" w:hRule="atLeast"/>
        </w:trPr>
        <w:tc>
          <w:tcPr>
            <w:tcW w:w="314" w:type="dxa"/>
            <w:vMerge w:val="continue"/>
            <w:tcBorders>
              <w:top w:val="single" w:color="000000" w:sz="4" w:space="0"/>
              <w:left w:val="single" w:color="000000" w:sz="4" w:space="0"/>
              <w:bottom w:val="single" w:color="000000" w:sz="4" w:space="0"/>
              <w:right w:val="single" w:color="000000" w:sz="4" w:space="0"/>
            </w:tcBorders>
            <w:vAlign w:val="center"/>
          </w:tcPr>
          <w:p>
            <w:pPr>
              <w:widowControl/>
              <w:numPr>
                <w:ilvl w:val="0"/>
                <w:numId w:val="0"/>
              </w:numPr>
              <w:spacing w:line="300" w:lineRule="exact"/>
              <w:jc w:val="center"/>
              <w:textAlignment w:val="center"/>
              <w:rPr>
                <w:rFonts w:hint="eastAsia" w:ascii="宋体" w:hAnsi="宋体" w:cs="宋体"/>
                <w:color w:val="auto"/>
                <w:sz w:val="22"/>
                <w:szCs w:val="21"/>
                <w:lang w:val="en-US" w:eastAsia="zh-CN"/>
              </w:rPr>
            </w:pPr>
          </w:p>
        </w:tc>
        <w:tc>
          <w:tcPr>
            <w:tcW w:w="570" w:type="dxa"/>
            <w:vMerge w:val="continue"/>
            <w:tcBorders>
              <w:top w:val="single" w:color="000000" w:sz="4" w:space="0"/>
              <w:left w:val="single" w:color="000000" w:sz="4" w:space="0"/>
              <w:bottom w:val="single" w:color="000000" w:sz="4" w:space="0"/>
              <w:right w:val="single" w:color="000000" w:sz="4" w:space="0"/>
            </w:tcBorders>
            <w:vAlign w:val="center"/>
          </w:tcPr>
          <w:p>
            <w:pPr>
              <w:widowControl/>
              <w:numPr>
                <w:ilvl w:val="0"/>
                <w:numId w:val="0"/>
              </w:numPr>
              <w:spacing w:line="300" w:lineRule="exact"/>
              <w:jc w:val="center"/>
              <w:textAlignment w:val="center"/>
              <w:rPr>
                <w:rFonts w:hint="eastAsia" w:ascii="宋体" w:hAnsi="宋体" w:cs="宋体"/>
                <w:color w:val="auto"/>
                <w:sz w:val="22"/>
                <w:szCs w:val="21"/>
                <w:lang w:val="en-US" w:eastAsia="zh-CN"/>
              </w:rPr>
            </w:pPr>
          </w:p>
        </w:tc>
        <w:tc>
          <w:tcPr>
            <w:tcW w:w="732" w:type="dxa"/>
            <w:tcBorders>
              <w:top w:val="single" w:color="000000" w:sz="4" w:space="0"/>
              <w:left w:val="single" w:color="000000" w:sz="4" w:space="0"/>
              <w:bottom w:val="single" w:color="000000" w:sz="4" w:space="0"/>
              <w:right w:val="single" w:color="000000" w:sz="4" w:space="0"/>
            </w:tcBorders>
            <w:vAlign w:val="center"/>
          </w:tcPr>
          <w:p>
            <w:pPr>
              <w:widowControl/>
              <w:numPr>
                <w:ilvl w:val="0"/>
                <w:numId w:val="0"/>
              </w:numPr>
              <w:spacing w:line="300" w:lineRule="exact"/>
              <w:jc w:val="center"/>
              <w:textAlignment w:val="center"/>
              <w:rPr>
                <w:rFonts w:hint="eastAsia" w:ascii="宋体" w:hAnsi="宋体" w:cs="宋体"/>
                <w:color w:val="auto"/>
                <w:sz w:val="22"/>
                <w:szCs w:val="21"/>
                <w:lang w:val="en-US" w:eastAsia="zh-CN"/>
              </w:rPr>
            </w:pPr>
            <w:r>
              <w:rPr>
                <w:rFonts w:hint="eastAsia" w:ascii="宋体" w:hAnsi="宋体" w:cs="宋体"/>
                <w:color w:val="auto"/>
                <w:sz w:val="22"/>
                <w:szCs w:val="21"/>
                <w:lang w:val="en-US" w:eastAsia="zh-CN"/>
              </w:rPr>
              <w:t>统计信息建设</w:t>
            </w:r>
          </w:p>
        </w:tc>
        <w:tc>
          <w:tcPr>
            <w:tcW w:w="453" w:type="dxa"/>
            <w:tcBorders>
              <w:top w:val="single" w:color="000000" w:sz="4" w:space="0"/>
              <w:left w:val="single" w:color="000000" w:sz="4" w:space="0"/>
              <w:bottom w:val="single" w:color="000000" w:sz="4" w:space="0"/>
              <w:right w:val="single" w:color="000000" w:sz="4" w:space="0"/>
            </w:tcBorders>
            <w:vAlign w:val="center"/>
          </w:tcPr>
          <w:p>
            <w:pPr>
              <w:widowControl/>
              <w:numPr>
                <w:ilvl w:val="0"/>
                <w:numId w:val="0"/>
              </w:numPr>
              <w:spacing w:line="300" w:lineRule="exact"/>
              <w:jc w:val="center"/>
              <w:textAlignment w:val="center"/>
              <w:rPr>
                <w:rFonts w:hint="default" w:ascii="宋体" w:hAnsi="宋体" w:cs="宋体"/>
                <w:color w:val="auto"/>
                <w:sz w:val="22"/>
                <w:szCs w:val="21"/>
                <w:lang w:val="en-US" w:eastAsia="zh-CN"/>
              </w:rPr>
            </w:pPr>
            <w:r>
              <w:rPr>
                <w:rFonts w:hint="eastAsia" w:ascii="宋体" w:hAnsi="宋体" w:cs="宋体"/>
                <w:color w:val="auto"/>
                <w:sz w:val="22"/>
                <w:szCs w:val="21"/>
                <w:lang w:val="en-US" w:eastAsia="zh-CN"/>
              </w:rPr>
              <w:t>5分</w:t>
            </w:r>
          </w:p>
        </w:tc>
        <w:tc>
          <w:tcPr>
            <w:tcW w:w="1715" w:type="dxa"/>
            <w:tcBorders>
              <w:top w:val="single" w:color="000000" w:sz="4" w:space="0"/>
              <w:left w:val="single" w:color="000000" w:sz="4" w:space="0"/>
              <w:bottom w:val="single" w:color="000000" w:sz="4" w:space="0"/>
              <w:right w:val="single" w:color="000000" w:sz="4" w:space="0"/>
            </w:tcBorders>
            <w:vAlign w:val="center"/>
          </w:tcPr>
          <w:p>
            <w:pPr>
              <w:widowControl/>
              <w:numPr>
                <w:ilvl w:val="0"/>
                <w:numId w:val="0"/>
              </w:numPr>
              <w:spacing w:line="300" w:lineRule="exact"/>
              <w:jc w:val="left"/>
              <w:textAlignment w:val="center"/>
              <w:rPr>
                <w:rFonts w:hint="default" w:ascii="宋体" w:hAnsi="宋体" w:cs="宋体"/>
                <w:color w:val="auto"/>
                <w:sz w:val="22"/>
                <w:szCs w:val="21"/>
                <w:lang w:val="en-US" w:eastAsia="zh-CN"/>
              </w:rPr>
            </w:pPr>
            <w:r>
              <w:rPr>
                <w:rFonts w:hint="eastAsia" w:ascii="宋体" w:hAnsi="宋体" w:cs="宋体"/>
                <w:color w:val="auto"/>
                <w:sz w:val="22"/>
                <w:szCs w:val="21"/>
                <w:lang w:val="en-US" w:eastAsia="zh-CN"/>
              </w:rPr>
              <w:t>统计数据真实、准确，信息系统填报及时、完整</w:t>
            </w:r>
          </w:p>
        </w:tc>
        <w:tc>
          <w:tcPr>
            <w:tcW w:w="6593" w:type="dxa"/>
            <w:tcBorders>
              <w:top w:val="single" w:color="000000" w:sz="4" w:space="0"/>
              <w:left w:val="single" w:color="000000" w:sz="4" w:space="0"/>
              <w:bottom w:val="single" w:color="000000" w:sz="4" w:space="0"/>
              <w:right w:val="single" w:color="000000" w:sz="4" w:space="0"/>
            </w:tcBorders>
            <w:vAlign w:val="center"/>
          </w:tcPr>
          <w:p>
            <w:pPr>
              <w:widowControl/>
              <w:numPr>
                <w:ilvl w:val="0"/>
                <w:numId w:val="0"/>
              </w:numPr>
              <w:spacing w:line="300" w:lineRule="exact"/>
              <w:jc w:val="left"/>
              <w:textAlignment w:val="center"/>
              <w:rPr>
                <w:rFonts w:hint="eastAsia" w:ascii="宋体" w:hAnsi="宋体" w:cs="宋体"/>
                <w:color w:val="auto"/>
                <w:sz w:val="22"/>
                <w:szCs w:val="21"/>
                <w:lang w:val="en-US" w:eastAsia="zh-CN"/>
              </w:rPr>
            </w:pPr>
            <w:r>
              <w:rPr>
                <w:rFonts w:hint="eastAsia" w:ascii="宋体" w:hAnsi="宋体" w:cs="宋体"/>
                <w:color w:val="auto"/>
                <w:sz w:val="22"/>
                <w:szCs w:val="21"/>
                <w:lang w:val="en-US" w:eastAsia="zh-CN"/>
              </w:rPr>
              <w:t xml:space="preserve">1.按时按质将计划项目、项目改造情况录入管理信息系统，实时更新项目推进信息，得3分；   </w:t>
            </w:r>
          </w:p>
          <w:p>
            <w:pPr>
              <w:widowControl/>
              <w:numPr>
                <w:ilvl w:val="0"/>
                <w:numId w:val="0"/>
              </w:numPr>
              <w:spacing w:line="300" w:lineRule="exact"/>
              <w:jc w:val="left"/>
              <w:textAlignment w:val="center"/>
              <w:rPr>
                <w:rFonts w:hint="eastAsia" w:ascii="宋体" w:hAnsi="宋体" w:cs="宋体"/>
                <w:color w:val="auto"/>
                <w:sz w:val="22"/>
                <w:szCs w:val="21"/>
                <w:lang w:val="en-US" w:eastAsia="zh-CN"/>
              </w:rPr>
            </w:pPr>
            <w:r>
              <w:rPr>
                <w:rFonts w:hint="eastAsia" w:ascii="宋体" w:hAnsi="宋体" w:cs="宋体"/>
                <w:color w:val="auto"/>
                <w:sz w:val="22"/>
                <w:szCs w:val="21"/>
                <w:lang w:val="en-US" w:eastAsia="zh-CN"/>
              </w:rPr>
              <w:t xml:space="preserve">2.每月按时报送统计报表且数据真实准确的，得2分                                                                                                                       </w:t>
            </w:r>
          </w:p>
        </w:tc>
        <w:tc>
          <w:tcPr>
            <w:tcW w:w="2707"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left"/>
              <w:rPr>
                <w:rFonts w:hint="eastAsia" w:ascii="宋体" w:hAnsi="宋体" w:cs="宋体"/>
                <w:color w:val="auto"/>
                <w:sz w:val="22"/>
                <w:szCs w:val="21"/>
                <w:lang w:val="en-US" w:eastAsia="zh-CN"/>
              </w:rPr>
            </w:pPr>
            <w:r>
              <w:rPr>
                <w:rFonts w:hint="eastAsia" w:ascii="宋体" w:hAnsi="宋体" w:cs="宋体"/>
                <w:color w:val="auto"/>
                <w:sz w:val="21"/>
                <w:szCs w:val="21"/>
                <w:lang w:val="en-US" w:eastAsia="zh-CN"/>
              </w:rPr>
              <w:t>1.</w:t>
            </w:r>
            <w:r>
              <w:rPr>
                <w:rFonts w:hint="eastAsia" w:ascii="宋体" w:hAnsi="宋体" w:cs="宋体"/>
                <w:color w:val="auto"/>
                <w:sz w:val="22"/>
                <w:szCs w:val="21"/>
                <w:lang w:val="en-US" w:eastAsia="zh-CN"/>
              </w:rPr>
              <w:t>按时按质将计划项目、项目改造情况录入管理信息系统，实时更新项目推进信息</w:t>
            </w:r>
          </w:p>
          <w:p>
            <w:pPr>
              <w:widowControl/>
              <w:spacing w:line="300" w:lineRule="exact"/>
              <w:jc w:val="left"/>
              <w:rPr>
                <w:rFonts w:hint="default" w:ascii="宋体" w:hAnsi="宋体" w:cs="宋体"/>
                <w:color w:val="auto"/>
                <w:sz w:val="22"/>
                <w:szCs w:val="21"/>
                <w:lang w:val="en-US" w:eastAsia="zh-CN"/>
              </w:rPr>
            </w:pPr>
            <w:r>
              <w:rPr>
                <w:rFonts w:hint="eastAsia" w:ascii="宋体" w:hAnsi="宋体" w:cs="宋体"/>
                <w:color w:val="auto"/>
                <w:sz w:val="22"/>
                <w:szCs w:val="21"/>
                <w:lang w:val="en-US" w:eastAsia="zh-CN"/>
              </w:rPr>
              <w:t>2.每月按时报送统计报表且数据真实准确</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005" w:hRule="atLeast"/>
        </w:trPr>
        <w:tc>
          <w:tcPr>
            <w:tcW w:w="314" w:type="dxa"/>
            <w:vMerge w:val="restart"/>
            <w:tcBorders>
              <w:top w:val="single" w:color="000000" w:sz="4" w:space="0"/>
              <w:left w:val="single" w:color="000000" w:sz="4" w:space="0"/>
              <w:right w:val="single" w:color="000000" w:sz="4" w:space="0"/>
            </w:tcBorders>
            <w:vAlign w:val="center"/>
          </w:tcPr>
          <w:p>
            <w:pPr>
              <w:widowControl/>
              <w:numPr>
                <w:ilvl w:val="0"/>
                <w:numId w:val="0"/>
              </w:numPr>
              <w:spacing w:line="300" w:lineRule="exact"/>
              <w:jc w:val="center"/>
              <w:textAlignment w:val="center"/>
              <w:rPr>
                <w:rFonts w:hint="eastAsia" w:ascii="宋体" w:hAnsi="宋体" w:cs="宋体"/>
                <w:color w:val="auto"/>
                <w:sz w:val="22"/>
                <w:szCs w:val="21"/>
                <w:lang w:val="en-US" w:eastAsia="zh-CN"/>
              </w:rPr>
            </w:pPr>
            <w:r>
              <w:rPr>
                <w:rFonts w:hint="eastAsia" w:ascii="宋体" w:hAnsi="宋体" w:cs="宋体"/>
                <w:color w:val="auto"/>
                <w:sz w:val="22"/>
                <w:szCs w:val="21"/>
                <w:lang w:val="en-US" w:eastAsia="zh-CN"/>
              </w:rPr>
              <w:t>3</w:t>
            </w:r>
          </w:p>
        </w:tc>
        <w:tc>
          <w:tcPr>
            <w:tcW w:w="570" w:type="dxa"/>
            <w:vMerge w:val="restart"/>
            <w:tcBorders>
              <w:top w:val="single" w:color="000000" w:sz="4" w:space="0"/>
              <w:left w:val="single" w:color="000000" w:sz="4" w:space="0"/>
              <w:right w:val="single" w:color="000000" w:sz="4" w:space="0"/>
            </w:tcBorders>
            <w:vAlign w:val="center"/>
          </w:tcPr>
          <w:p>
            <w:pPr>
              <w:widowControl/>
              <w:numPr>
                <w:ilvl w:val="0"/>
                <w:numId w:val="0"/>
              </w:numPr>
              <w:spacing w:line="300" w:lineRule="exact"/>
              <w:jc w:val="center"/>
              <w:textAlignment w:val="center"/>
              <w:rPr>
                <w:rFonts w:hint="eastAsia" w:ascii="宋体" w:hAnsi="宋体" w:cs="宋体"/>
                <w:color w:val="auto"/>
                <w:sz w:val="22"/>
                <w:szCs w:val="21"/>
                <w:lang w:val="en-US" w:eastAsia="zh-CN"/>
              </w:rPr>
            </w:pPr>
            <w:r>
              <w:rPr>
                <w:rFonts w:hint="eastAsia" w:ascii="宋体" w:hAnsi="宋体" w:cs="宋体"/>
                <w:color w:val="auto"/>
                <w:sz w:val="22"/>
                <w:szCs w:val="21"/>
                <w:lang w:val="en-US" w:eastAsia="zh-CN"/>
              </w:rPr>
              <w:t>产出</w:t>
            </w:r>
            <w:r>
              <w:rPr>
                <w:rFonts w:hint="eastAsia" w:ascii="宋体" w:hAnsi="宋体" w:cs="宋体"/>
                <w:color w:val="auto"/>
                <w:sz w:val="22"/>
                <w:szCs w:val="21"/>
                <w:lang w:val="en-US" w:eastAsia="zh-CN"/>
              </w:rPr>
              <w:br w:type="textWrapping"/>
            </w:r>
            <w:r>
              <w:rPr>
                <w:rFonts w:hint="eastAsia" w:ascii="宋体" w:hAnsi="宋体" w:cs="宋体"/>
                <w:color w:val="auto"/>
                <w:sz w:val="22"/>
                <w:szCs w:val="21"/>
                <w:lang w:val="en-US" w:eastAsia="zh-CN"/>
              </w:rPr>
              <w:t>（35分）</w:t>
            </w:r>
          </w:p>
        </w:tc>
        <w:tc>
          <w:tcPr>
            <w:tcW w:w="732" w:type="dxa"/>
            <w:tcBorders>
              <w:top w:val="single" w:color="000000" w:sz="4" w:space="0"/>
              <w:left w:val="single" w:color="000000" w:sz="4" w:space="0"/>
              <w:bottom w:val="single" w:color="000000" w:sz="4" w:space="0"/>
              <w:right w:val="single" w:color="000000" w:sz="4" w:space="0"/>
            </w:tcBorders>
            <w:vAlign w:val="center"/>
          </w:tcPr>
          <w:p>
            <w:pPr>
              <w:widowControl/>
              <w:numPr>
                <w:ilvl w:val="0"/>
                <w:numId w:val="0"/>
              </w:numPr>
              <w:spacing w:line="300" w:lineRule="exact"/>
              <w:jc w:val="center"/>
              <w:textAlignment w:val="center"/>
              <w:rPr>
                <w:rFonts w:hint="eastAsia" w:ascii="宋体" w:hAnsi="宋体" w:cs="宋体"/>
                <w:color w:val="auto"/>
                <w:sz w:val="22"/>
                <w:szCs w:val="21"/>
                <w:lang w:val="en-US" w:eastAsia="zh-CN"/>
              </w:rPr>
            </w:pPr>
            <w:r>
              <w:rPr>
                <w:rFonts w:hint="eastAsia" w:ascii="宋体" w:hAnsi="宋体" w:cs="宋体"/>
                <w:color w:val="auto"/>
                <w:sz w:val="22"/>
                <w:szCs w:val="21"/>
                <w:lang w:val="en-US" w:eastAsia="zh-CN"/>
              </w:rPr>
              <w:t>目标任务完成率</w:t>
            </w:r>
          </w:p>
        </w:tc>
        <w:tc>
          <w:tcPr>
            <w:tcW w:w="453" w:type="dxa"/>
            <w:tcBorders>
              <w:top w:val="single" w:color="000000" w:sz="4" w:space="0"/>
              <w:left w:val="single" w:color="000000" w:sz="4" w:space="0"/>
              <w:bottom w:val="single" w:color="000000" w:sz="4" w:space="0"/>
              <w:right w:val="single" w:color="000000" w:sz="4" w:space="0"/>
            </w:tcBorders>
            <w:vAlign w:val="center"/>
          </w:tcPr>
          <w:p>
            <w:pPr>
              <w:widowControl/>
              <w:numPr>
                <w:ilvl w:val="0"/>
                <w:numId w:val="0"/>
              </w:numPr>
              <w:spacing w:line="300" w:lineRule="exact"/>
              <w:jc w:val="center"/>
              <w:textAlignment w:val="center"/>
              <w:rPr>
                <w:rFonts w:hint="eastAsia" w:ascii="宋体" w:hAnsi="宋体" w:cs="宋体"/>
                <w:color w:val="auto"/>
                <w:sz w:val="22"/>
                <w:szCs w:val="21"/>
                <w:lang w:val="en-US" w:eastAsia="zh-CN"/>
              </w:rPr>
            </w:pPr>
            <w:r>
              <w:rPr>
                <w:rFonts w:hint="eastAsia" w:ascii="宋体" w:hAnsi="宋体" w:cs="宋体"/>
                <w:color w:val="auto"/>
                <w:sz w:val="22"/>
                <w:szCs w:val="21"/>
                <w:lang w:val="en-US" w:eastAsia="zh-CN"/>
              </w:rPr>
              <w:t>20分</w:t>
            </w:r>
          </w:p>
        </w:tc>
        <w:tc>
          <w:tcPr>
            <w:tcW w:w="1715" w:type="dxa"/>
            <w:tcBorders>
              <w:top w:val="single" w:color="000000" w:sz="4" w:space="0"/>
              <w:left w:val="single" w:color="000000" w:sz="4" w:space="0"/>
              <w:bottom w:val="single" w:color="000000" w:sz="4" w:space="0"/>
              <w:right w:val="single" w:color="000000" w:sz="4" w:space="0"/>
            </w:tcBorders>
            <w:vAlign w:val="center"/>
          </w:tcPr>
          <w:p>
            <w:pPr>
              <w:widowControl/>
              <w:numPr>
                <w:ilvl w:val="0"/>
                <w:numId w:val="0"/>
              </w:numPr>
              <w:spacing w:line="300" w:lineRule="exact"/>
              <w:jc w:val="left"/>
              <w:textAlignment w:val="center"/>
              <w:rPr>
                <w:rFonts w:hint="eastAsia" w:ascii="宋体" w:hAnsi="宋体" w:cs="宋体"/>
                <w:color w:val="auto"/>
                <w:sz w:val="22"/>
                <w:szCs w:val="21"/>
                <w:lang w:val="en-US" w:eastAsia="zh-CN"/>
              </w:rPr>
            </w:pPr>
            <w:r>
              <w:rPr>
                <w:rFonts w:hint="eastAsia" w:ascii="宋体" w:hAnsi="宋体" w:cs="宋体"/>
                <w:color w:val="auto"/>
                <w:sz w:val="22"/>
                <w:szCs w:val="21"/>
                <w:lang w:val="en-US" w:eastAsia="zh-CN"/>
              </w:rPr>
              <w:t>本年度小区完成数与年度目标任务数的比率</w:t>
            </w:r>
          </w:p>
        </w:tc>
        <w:tc>
          <w:tcPr>
            <w:tcW w:w="6593" w:type="dxa"/>
            <w:tcBorders>
              <w:top w:val="single" w:color="000000" w:sz="4" w:space="0"/>
              <w:left w:val="single" w:color="000000" w:sz="4" w:space="0"/>
              <w:bottom w:val="single" w:color="000000" w:sz="4" w:space="0"/>
              <w:right w:val="single" w:color="000000" w:sz="4" w:space="0"/>
            </w:tcBorders>
            <w:vAlign w:val="center"/>
          </w:tcPr>
          <w:p>
            <w:pPr>
              <w:widowControl/>
              <w:numPr>
                <w:ilvl w:val="0"/>
                <w:numId w:val="0"/>
              </w:numPr>
              <w:spacing w:line="300" w:lineRule="exact"/>
              <w:jc w:val="left"/>
              <w:textAlignment w:val="center"/>
              <w:rPr>
                <w:rFonts w:hint="eastAsia" w:ascii="宋体" w:hAnsi="宋体" w:cs="宋体"/>
                <w:color w:val="auto"/>
                <w:sz w:val="22"/>
                <w:szCs w:val="21"/>
                <w:lang w:val="en-US" w:eastAsia="zh-CN"/>
              </w:rPr>
            </w:pPr>
            <w:r>
              <w:rPr>
                <w:rFonts w:hint="eastAsia" w:ascii="宋体" w:hAnsi="宋体" w:cs="宋体"/>
                <w:color w:val="auto"/>
                <w:sz w:val="22"/>
                <w:szCs w:val="21"/>
                <w:lang w:val="en-US" w:eastAsia="zh-CN"/>
              </w:rPr>
              <w:t>目标任务完成率：项目小区完成数/年度目标任务数*分值 （本项得分，可参考各年度完成小区个数任务指标作为权重赋分）。</w:t>
            </w:r>
          </w:p>
        </w:tc>
        <w:tc>
          <w:tcPr>
            <w:tcW w:w="2707"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已经按时按质完工</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156" w:hRule="atLeast"/>
        </w:trPr>
        <w:tc>
          <w:tcPr>
            <w:tcW w:w="314" w:type="dxa"/>
            <w:vMerge w:val="continue"/>
            <w:tcBorders>
              <w:left w:val="single" w:color="000000" w:sz="4" w:space="0"/>
              <w:right w:val="single" w:color="000000" w:sz="4" w:space="0"/>
            </w:tcBorders>
            <w:vAlign w:val="center"/>
          </w:tcPr>
          <w:p>
            <w:pPr>
              <w:widowControl/>
              <w:numPr>
                <w:ilvl w:val="0"/>
                <w:numId w:val="0"/>
              </w:numPr>
              <w:spacing w:line="300" w:lineRule="exact"/>
              <w:jc w:val="center"/>
              <w:textAlignment w:val="center"/>
              <w:rPr>
                <w:rFonts w:hint="eastAsia" w:ascii="宋体" w:hAnsi="宋体" w:cs="宋体"/>
                <w:color w:val="auto"/>
                <w:sz w:val="22"/>
                <w:szCs w:val="21"/>
                <w:lang w:val="en-US" w:eastAsia="zh-CN"/>
              </w:rPr>
            </w:pPr>
          </w:p>
        </w:tc>
        <w:tc>
          <w:tcPr>
            <w:tcW w:w="570" w:type="dxa"/>
            <w:vMerge w:val="continue"/>
            <w:tcBorders>
              <w:left w:val="single" w:color="000000" w:sz="4" w:space="0"/>
              <w:right w:val="single" w:color="000000" w:sz="4" w:space="0"/>
            </w:tcBorders>
            <w:vAlign w:val="center"/>
          </w:tcPr>
          <w:p>
            <w:pPr>
              <w:widowControl/>
              <w:numPr>
                <w:ilvl w:val="0"/>
                <w:numId w:val="0"/>
              </w:numPr>
              <w:spacing w:line="300" w:lineRule="exact"/>
              <w:jc w:val="center"/>
              <w:textAlignment w:val="center"/>
              <w:rPr>
                <w:rFonts w:hint="eastAsia" w:ascii="宋体" w:hAnsi="宋体" w:cs="宋体"/>
                <w:color w:val="auto"/>
                <w:sz w:val="22"/>
                <w:szCs w:val="21"/>
                <w:lang w:val="en-US" w:eastAsia="zh-CN"/>
              </w:rPr>
            </w:pPr>
          </w:p>
        </w:tc>
        <w:tc>
          <w:tcPr>
            <w:tcW w:w="732" w:type="dxa"/>
            <w:tcBorders>
              <w:top w:val="single" w:color="000000" w:sz="4" w:space="0"/>
              <w:left w:val="single" w:color="000000" w:sz="4" w:space="0"/>
              <w:bottom w:val="single" w:color="000000" w:sz="4" w:space="0"/>
              <w:right w:val="single" w:color="000000" w:sz="4" w:space="0"/>
            </w:tcBorders>
            <w:vAlign w:val="center"/>
          </w:tcPr>
          <w:p>
            <w:pPr>
              <w:widowControl/>
              <w:numPr>
                <w:ilvl w:val="0"/>
                <w:numId w:val="0"/>
              </w:numPr>
              <w:spacing w:line="300" w:lineRule="exact"/>
              <w:jc w:val="center"/>
              <w:textAlignment w:val="center"/>
              <w:rPr>
                <w:rFonts w:hint="eastAsia" w:ascii="宋体" w:hAnsi="宋体" w:cs="宋体"/>
                <w:color w:val="auto"/>
                <w:sz w:val="22"/>
                <w:szCs w:val="21"/>
                <w:lang w:val="en-US" w:eastAsia="zh-CN"/>
              </w:rPr>
            </w:pPr>
            <w:r>
              <w:rPr>
                <w:rFonts w:hint="eastAsia" w:ascii="宋体" w:hAnsi="宋体" w:cs="宋体"/>
                <w:color w:val="auto"/>
                <w:sz w:val="22"/>
                <w:szCs w:val="21"/>
                <w:lang w:val="en-US" w:eastAsia="zh-CN"/>
              </w:rPr>
              <w:t>项目时限达标率</w:t>
            </w:r>
          </w:p>
        </w:tc>
        <w:tc>
          <w:tcPr>
            <w:tcW w:w="453" w:type="dxa"/>
            <w:tcBorders>
              <w:top w:val="single" w:color="000000" w:sz="4" w:space="0"/>
              <w:left w:val="single" w:color="000000" w:sz="4" w:space="0"/>
              <w:bottom w:val="single" w:color="000000" w:sz="4" w:space="0"/>
              <w:right w:val="single" w:color="000000" w:sz="4" w:space="0"/>
            </w:tcBorders>
            <w:vAlign w:val="center"/>
          </w:tcPr>
          <w:p>
            <w:pPr>
              <w:widowControl/>
              <w:numPr>
                <w:ilvl w:val="0"/>
                <w:numId w:val="0"/>
              </w:numPr>
              <w:spacing w:line="300" w:lineRule="exact"/>
              <w:jc w:val="center"/>
              <w:textAlignment w:val="center"/>
              <w:rPr>
                <w:rFonts w:hint="eastAsia" w:ascii="宋体" w:hAnsi="宋体" w:cs="宋体"/>
                <w:color w:val="auto"/>
                <w:sz w:val="22"/>
                <w:szCs w:val="21"/>
                <w:lang w:val="en-US" w:eastAsia="zh-CN"/>
              </w:rPr>
            </w:pPr>
            <w:r>
              <w:rPr>
                <w:rFonts w:hint="eastAsia" w:ascii="宋体" w:hAnsi="宋体" w:cs="宋体"/>
                <w:color w:val="auto"/>
                <w:sz w:val="22"/>
                <w:szCs w:val="21"/>
                <w:lang w:val="en-US" w:eastAsia="zh-CN"/>
              </w:rPr>
              <w:t>5分</w:t>
            </w:r>
          </w:p>
        </w:tc>
        <w:tc>
          <w:tcPr>
            <w:tcW w:w="1715" w:type="dxa"/>
            <w:tcBorders>
              <w:top w:val="single" w:color="000000" w:sz="4" w:space="0"/>
              <w:left w:val="single" w:color="000000" w:sz="4" w:space="0"/>
              <w:bottom w:val="single" w:color="000000" w:sz="4" w:space="0"/>
              <w:right w:val="single" w:color="000000" w:sz="4" w:space="0"/>
            </w:tcBorders>
            <w:vAlign w:val="center"/>
          </w:tcPr>
          <w:p>
            <w:pPr>
              <w:widowControl/>
              <w:numPr>
                <w:ilvl w:val="0"/>
                <w:numId w:val="0"/>
              </w:numPr>
              <w:spacing w:line="300" w:lineRule="exact"/>
              <w:jc w:val="left"/>
              <w:textAlignment w:val="center"/>
              <w:rPr>
                <w:rFonts w:hint="eastAsia" w:ascii="宋体" w:hAnsi="宋体" w:cs="宋体"/>
                <w:color w:val="auto"/>
                <w:sz w:val="22"/>
                <w:szCs w:val="21"/>
                <w:lang w:val="en-US" w:eastAsia="zh-CN"/>
              </w:rPr>
            </w:pPr>
            <w:r>
              <w:rPr>
                <w:rFonts w:hint="eastAsia" w:ascii="宋体" w:hAnsi="宋体" w:cs="宋体"/>
                <w:color w:val="auto"/>
                <w:sz w:val="22"/>
                <w:szCs w:val="21"/>
                <w:lang w:val="en-US" w:eastAsia="zh-CN"/>
              </w:rPr>
              <w:t>本年度小区按照时限要求完成数与年度目标任务数的比率</w:t>
            </w:r>
          </w:p>
        </w:tc>
        <w:tc>
          <w:tcPr>
            <w:tcW w:w="6593" w:type="dxa"/>
            <w:tcBorders>
              <w:top w:val="single" w:color="000000" w:sz="4" w:space="0"/>
              <w:left w:val="single" w:color="000000" w:sz="4" w:space="0"/>
              <w:bottom w:val="single" w:color="000000" w:sz="4" w:space="0"/>
              <w:right w:val="single" w:color="000000" w:sz="4" w:space="0"/>
            </w:tcBorders>
            <w:vAlign w:val="center"/>
          </w:tcPr>
          <w:p>
            <w:pPr>
              <w:widowControl/>
              <w:numPr>
                <w:ilvl w:val="0"/>
                <w:numId w:val="0"/>
              </w:numPr>
              <w:spacing w:line="300" w:lineRule="exact"/>
              <w:jc w:val="left"/>
              <w:textAlignment w:val="center"/>
              <w:rPr>
                <w:rFonts w:hint="eastAsia" w:ascii="宋体" w:hAnsi="宋体" w:cs="宋体"/>
                <w:color w:val="auto"/>
                <w:sz w:val="22"/>
                <w:szCs w:val="21"/>
                <w:lang w:val="en-US" w:eastAsia="zh-CN"/>
              </w:rPr>
            </w:pPr>
            <w:r>
              <w:rPr>
                <w:rFonts w:hint="eastAsia" w:ascii="宋体" w:hAnsi="宋体" w:cs="宋体"/>
                <w:color w:val="auto"/>
                <w:sz w:val="22"/>
                <w:szCs w:val="21"/>
                <w:lang w:val="en-US" w:eastAsia="zh-CN"/>
              </w:rPr>
              <w:t>项目时限达标率=符合完工时限要求的项目数/年度目标任务数*分值。</w:t>
            </w:r>
          </w:p>
        </w:tc>
        <w:tc>
          <w:tcPr>
            <w:tcW w:w="2707"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已经按时按质完工</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005" w:hRule="atLeast"/>
        </w:trPr>
        <w:tc>
          <w:tcPr>
            <w:tcW w:w="314" w:type="dxa"/>
            <w:vMerge w:val="continue"/>
            <w:tcBorders>
              <w:left w:val="single" w:color="000000" w:sz="4" w:space="0"/>
              <w:right w:val="single" w:color="000000" w:sz="4" w:space="0"/>
            </w:tcBorders>
            <w:vAlign w:val="center"/>
          </w:tcPr>
          <w:p>
            <w:pPr>
              <w:widowControl/>
              <w:spacing w:line="300" w:lineRule="exact"/>
              <w:jc w:val="center"/>
              <w:rPr>
                <w:rFonts w:ascii="宋体" w:hAnsi="宋体" w:cs="宋体"/>
                <w:color w:val="auto"/>
                <w:sz w:val="21"/>
                <w:szCs w:val="21"/>
              </w:rPr>
            </w:pPr>
          </w:p>
        </w:tc>
        <w:tc>
          <w:tcPr>
            <w:tcW w:w="570" w:type="dxa"/>
            <w:vMerge w:val="continue"/>
            <w:tcBorders>
              <w:left w:val="single" w:color="000000" w:sz="4" w:space="0"/>
              <w:right w:val="single" w:color="000000" w:sz="4" w:space="0"/>
            </w:tcBorders>
            <w:vAlign w:val="center"/>
          </w:tcPr>
          <w:p>
            <w:pPr>
              <w:widowControl/>
              <w:spacing w:line="300" w:lineRule="exact"/>
              <w:jc w:val="center"/>
              <w:rPr>
                <w:rFonts w:ascii="宋体" w:hAnsi="宋体" w:cs="宋体"/>
                <w:color w:val="auto"/>
                <w:sz w:val="21"/>
                <w:szCs w:val="21"/>
              </w:rPr>
            </w:pPr>
          </w:p>
        </w:tc>
        <w:tc>
          <w:tcPr>
            <w:tcW w:w="732" w:type="dxa"/>
            <w:tcBorders>
              <w:top w:val="single" w:color="000000" w:sz="4" w:space="0"/>
              <w:left w:val="single" w:color="000000" w:sz="4" w:space="0"/>
              <w:bottom w:val="single" w:color="000000" w:sz="4" w:space="0"/>
              <w:right w:val="single" w:color="000000" w:sz="4" w:space="0"/>
            </w:tcBorders>
            <w:vAlign w:val="center"/>
          </w:tcPr>
          <w:p>
            <w:pPr>
              <w:widowControl/>
              <w:numPr>
                <w:ilvl w:val="0"/>
                <w:numId w:val="0"/>
              </w:numPr>
              <w:spacing w:line="300" w:lineRule="exact"/>
              <w:jc w:val="center"/>
              <w:textAlignment w:val="center"/>
              <w:rPr>
                <w:rFonts w:hint="eastAsia" w:ascii="宋体" w:hAnsi="宋体" w:cs="宋体"/>
                <w:color w:val="auto"/>
                <w:sz w:val="22"/>
                <w:szCs w:val="21"/>
                <w:lang w:val="en-US" w:eastAsia="zh-CN"/>
              </w:rPr>
            </w:pPr>
            <w:r>
              <w:rPr>
                <w:rFonts w:hint="eastAsia" w:ascii="宋体" w:hAnsi="宋体" w:cs="宋体"/>
                <w:color w:val="auto"/>
                <w:sz w:val="22"/>
                <w:szCs w:val="21"/>
                <w:lang w:val="en-US" w:eastAsia="zh-CN"/>
              </w:rPr>
              <w:t>项目质量达标率</w:t>
            </w:r>
          </w:p>
        </w:tc>
        <w:tc>
          <w:tcPr>
            <w:tcW w:w="453" w:type="dxa"/>
            <w:tcBorders>
              <w:top w:val="single" w:color="000000" w:sz="4" w:space="0"/>
              <w:left w:val="single" w:color="000000" w:sz="4" w:space="0"/>
              <w:bottom w:val="single" w:color="000000" w:sz="4" w:space="0"/>
              <w:right w:val="single" w:color="000000" w:sz="4" w:space="0"/>
            </w:tcBorders>
            <w:vAlign w:val="center"/>
          </w:tcPr>
          <w:p>
            <w:pPr>
              <w:widowControl/>
              <w:numPr>
                <w:ilvl w:val="0"/>
                <w:numId w:val="0"/>
              </w:numPr>
              <w:spacing w:line="300" w:lineRule="exact"/>
              <w:jc w:val="center"/>
              <w:textAlignment w:val="center"/>
              <w:rPr>
                <w:rFonts w:hint="eastAsia" w:ascii="宋体" w:hAnsi="宋体" w:cs="宋体"/>
                <w:color w:val="auto"/>
                <w:sz w:val="22"/>
                <w:szCs w:val="21"/>
                <w:lang w:val="en-US" w:eastAsia="zh-CN"/>
              </w:rPr>
            </w:pPr>
            <w:r>
              <w:rPr>
                <w:rFonts w:hint="eastAsia" w:ascii="宋体" w:hAnsi="宋体" w:cs="宋体"/>
                <w:color w:val="auto"/>
                <w:sz w:val="22"/>
                <w:szCs w:val="21"/>
                <w:lang w:val="en-US" w:eastAsia="zh-CN"/>
              </w:rPr>
              <w:t>5分</w:t>
            </w:r>
          </w:p>
        </w:tc>
        <w:tc>
          <w:tcPr>
            <w:tcW w:w="1715" w:type="dxa"/>
            <w:tcBorders>
              <w:top w:val="single" w:color="000000" w:sz="4" w:space="0"/>
              <w:left w:val="single" w:color="000000" w:sz="4" w:space="0"/>
              <w:bottom w:val="single" w:color="000000" w:sz="4" w:space="0"/>
              <w:right w:val="single" w:color="000000" w:sz="4" w:space="0"/>
            </w:tcBorders>
            <w:vAlign w:val="center"/>
          </w:tcPr>
          <w:p>
            <w:pPr>
              <w:widowControl/>
              <w:numPr>
                <w:ilvl w:val="0"/>
                <w:numId w:val="0"/>
              </w:numPr>
              <w:spacing w:line="300" w:lineRule="exact"/>
              <w:jc w:val="left"/>
              <w:textAlignment w:val="center"/>
              <w:rPr>
                <w:rFonts w:hint="eastAsia" w:ascii="宋体" w:hAnsi="宋体" w:cs="宋体"/>
                <w:color w:val="auto"/>
                <w:sz w:val="22"/>
                <w:szCs w:val="21"/>
                <w:lang w:val="en-US" w:eastAsia="zh-CN"/>
              </w:rPr>
            </w:pPr>
            <w:r>
              <w:rPr>
                <w:rFonts w:hint="eastAsia" w:ascii="宋体" w:hAnsi="宋体" w:cs="宋体"/>
                <w:color w:val="auto"/>
                <w:sz w:val="22"/>
                <w:szCs w:val="21"/>
                <w:lang w:val="en-US" w:eastAsia="zh-CN"/>
              </w:rPr>
              <w:t>本年度小区质量达标数与年度目标任务数的比率</w:t>
            </w:r>
          </w:p>
        </w:tc>
        <w:tc>
          <w:tcPr>
            <w:tcW w:w="6593" w:type="dxa"/>
            <w:tcBorders>
              <w:top w:val="single" w:color="000000" w:sz="4" w:space="0"/>
              <w:left w:val="single" w:color="000000" w:sz="4" w:space="0"/>
              <w:bottom w:val="single" w:color="000000" w:sz="4" w:space="0"/>
              <w:right w:val="single" w:color="000000" w:sz="4" w:space="0"/>
            </w:tcBorders>
            <w:vAlign w:val="center"/>
          </w:tcPr>
          <w:p>
            <w:pPr>
              <w:widowControl/>
              <w:numPr>
                <w:ilvl w:val="0"/>
                <w:numId w:val="0"/>
              </w:numPr>
              <w:spacing w:line="300" w:lineRule="exact"/>
              <w:jc w:val="left"/>
              <w:textAlignment w:val="center"/>
              <w:rPr>
                <w:rFonts w:hint="default" w:ascii="宋体" w:hAnsi="宋体" w:cs="宋体"/>
                <w:color w:val="auto"/>
                <w:sz w:val="22"/>
                <w:szCs w:val="21"/>
                <w:lang w:val="en-US" w:eastAsia="zh-CN"/>
              </w:rPr>
            </w:pPr>
            <w:r>
              <w:rPr>
                <w:rFonts w:hint="eastAsia" w:ascii="宋体" w:hAnsi="宋体" w:cs="宋体"/>
                <w:color w:val="auto"/>
                <w:sz w:val="22"/>
                <w:szCs w:val="21"/>
                <w:lang w:val="en-US" w:eastAsia="zh-CN"/>
              </w:rPr>
              <w:t>项目质量达标率=质量达标的项目数/年度目标任务数*分值</w:t>
            </w:r>
            <w:r>
              <w:rPr>
                <w:rFonts w:hint="eastAsia" w:ascii="宋体" w:hAnsi="宋体" w:cs="宋体"/>
                <w:color w:val="auto"/>
                <w:sz w:val="22"/>
                <w:szCs w:val="21"/>
                <w:lang w:val="en-US" w:eastAsia="zh-CN"/>
              </w:rPr>
              <w:br w:type="textWrapping"/>
            </w:r>
            <w:r>
              <w:rPr>
                <w:rFonts w:hint="eastAsia" w:ascii="宋体" w:hAnsi="宋体" w:cs="宋体"/>
                <w:color w:val="auto"/>
                <w:sz w:val="22"/>
                <w:szCs w:val="21"/>
                <w:lang w:val="en-US" w:eastAsia="zh-CN"/>
              </w:rPr>
              <w:t>（按照规划合同实施项目，工程质量符合标准，改造工程竣工验收合格为项目质量达标）；</w:t>
            </w:r>
          </w:p>
        </w:tc>
        <w:tc>
          <w:tcPr>
            <w:tcW w:w="2707"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已经按时按质完工</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246" w:hRule="atLeast"/>
        </w:trPr>
        <w:tc>
          <w:tcPr>
            <w:tcW w:w="314" w:type="dxa"/>
            <w:vMerge w:val="continue"/>
            <w:tcBorders>
              <w:left w:val="single" w:color="000000" w:sz="4" w:space="0"/>
              <w:bottom w:val="single" w:color="auto" w:sz="4" w:space="0"/>
              <w:right w:val="single" w:color="000000" w:sz="4" w:space="0"/>
            </w:tcBorders>
            <w:vAlign w:val="center"/>
          </w:tcPr>
          <w:p>
            <w:pPr>
              <w:widowControl/>
              <w:numPr>
                <w:ilvl w:val="0"/>
                <w:numId w:val="0"/>
              </w:numPr>
              <w:spacing w:line="300" w:lineRule="exact"/>
              <w:jc w:val="center"/>
              <w:textAlignment w:val="center"/>
              <w:rPr>
                <w:rFonts w:hint="eastAsia" w:ascii="宋体" w:hAnsi="宋体" w:cs="宋体"/>
                <w:color w:val="auto"/>
                <w:sz w:val="22"/>
                <w:szCs w:val="21"/>
                <w:lang w:val="en-US" w:eastAsia="zh-CN"/>
              </w:rPr>
            </w:pPr>
          </w:p>
        </w:tc>
        <w:tc>
          <w:tcPr>
            <w:tcW w:w="570" w:type="dxa"/>
            <w:vMerge w:val="continue"/>
            <w:tcBorders>
              <w:left w:val="single" w:color="000000" w:sz="4" w:space="0"/>
              <w:bottom w:val="single" w:color="auto" w:sz="4" w:space="0"/>
              <w:right w:val="single" w:color="000000" w:sz="4" w:space="0"/>
            </w:tcBorders>
            <w:vAlign w:val="center"/>
          </w:tcPr>
          <w:p>
            <w:pPr>
              <w:widowControl/>
              <w:numPr>
                <w:ilvl w:val="0"/>
                <w:numId w:val="0"/>
              </w:numPr>
              <w:spacing w:line="300" w:lineRule="exact"/>
              <w:jc w:val="center"/>
              <w:textAlignment w:val="center"/>
              <w:rPr>
                <w:rFonts w:hint="eastAsia" w:ascii="宋体" w:hAnsi="宋体" w:cs="宋体"/>
                <w:color w:val="auto"/>
                <w:sz w:val="22"/>
                <w:szCs w:val="21"/>
                <w:lang w:val="en-US" w:eastAsia="zh-CN"/>
              </w:rPr>
            </w:pPr>
          </w:p>
        </w:tc>
        <w:tc>
          <w:tcPr>
            <w:tcW w:w="732" w:type="dxa"/>
            <w:tcBorders>
              <w:top w:val="single" w:color="000000" w:sz="4" w:space="0"/>
              <w:left w:val="single" w:color="000000" w:sz="4" w:space="0"/>
              <w:bottom w:val="single" w:color="000000" w:sz="4" w:space="0"/>
              <w:right w:val="single" w:color="000000" w:sz="4" w:space="0"/>
            </w:tcBorders>
            <w:vAlign w:val="center"/>
          </w:tcPr>
          <w:p>
            <w:pPr>
              <w:widowControl/>
              <w:numPr>
                <w:ilvl w:val="0"/>
                <w:numId w:val="0"/>
              </w:numPr>
              <w:spacing w:line="300" w:lineRule="exact"/>
              <w:jc w:val="center"/>
              <w:textAlignment w:val="center"/>
              <w:rPr>
                <w:rFonts w:hint="default" w:ascii="宋体" w:hAnsi="宋体" w:cs="宋体"/>
                <w:color w:val="auto"/>
                <w:sz w:val="22"/>
                <w:szCs w:val="21"/>
                <w:lang w:val="en-US" w:eastAsia="zh-CN"/>
              </w:rPr>
            </w:pPr>
            <w:r>
              <w:rPr>
                <w:rFonts w:hint="eastAsia" w:ascii="宋体" w:hAnsi="宋体" w:cs="宋体"/>
                <w:color w:val="auto"/>
                <w:sz w:val="22"/>
                <w:szCs w:val="21"/>
                <w:lang w:val="en-US" w:eastAsia="zh-CN"/>
              </w:rPr>
              <w:t>片区改造</w:t>
            </w:r>
          </w:p>
        </w:tc>
        <w:tc>
          <w:tcPr>
            <w:tcW w:w="453" w:type="dxa"/>
            <w:tcBorders>
              <w:top w:val="single" w:color="000000" w:sz="4" w:space="0"/>
              <w:left w:val="single" w:color="000000" w:sz="4" w:space="0"/>
              <w:bottom w:val="single" w:color="000000" w:sz="4" w:space="0"/>
              <w:right w:val="single" w:color="000000" w:sz="4" w:space="0"/>
            </w:tcBorders>
            <w:vAlign w:val="center"/>
          </w:tcPr>
          <w:p>
            <w:pPr>
              <w:widowControl/>
              <w:numPr>
                <w:ilvl w:val="0"/>
                <w:numId w:val="0"/>
              </w:numPr>
              <w:spacing w:line="300" w:lineRule="exact"/>
              <w:jc w:val="center"/>
              <w:textAlignment w:val="center"/>
              <w:rPr>
                <w:rFonts w:hint="default" w:ascii="宋体" w:hAnsi="宋体" w:cs="宋体"/>
                <w:color w:val="auto"/>
                <w:sz w:val="22"/>
                <w:szCs w:val="21"/>
                <w:lang w:val="en-US" w:eastAsia="zh-CN"/>
              </w:rPr>
            </w:pPr>
            <w:r>
              <w:rPr>
                <w:rFonts w:hint="eastAsia" w:ascii="宋体" w:hAnsi="宋体" w:cs="宋体"/>
                <w:color w:val="auto"/>
                <w:sz w:val="22"/>
                <w:szCs w:val="21"/>
                <w:lang w:val="en-US" w:eastAsia="zh-CN"/>
              </w:rPr>
              <w:t>5分</w:t>
            </w:r>
          </w:p>
        </w:tc>
        <w:tc>
          <w:tcPr>
            <w:tcW w:w="1715" w:type="dxa"/>
            <w:tcBorders>
              <w:top w:val="single" w:color="000000" w:sz="4" w:space="0"/>
              <w:left w:val="single" w:color="000000" w:sz="4" w:space="0"/>
              <w:bottom w:val="single" w:color="000000" w:sz="4" w:space="0"/>
              <w:right w:val="single" w:color="000000" w:sz="4" w:space="0"/>
            </w:tcBorders>
            <w:vAlign w:val="center"/>
          </w:tcPr>
          <w:p>
            <w:pPr>
              <w:widowControl/>
              <w:numPr>
                <w:ilvl w:val="0"/>
                <w:numId w:val="0"/>
              </w:numPr>
              <w:spacing w:line="300" w:lineRule="exact"/>
              <w:jc w:val="left"/>
              <w:textAlignment w:val="center"/>
              <w:rPr>
                <w:rFonts w:hint="default" w:ascii="宋体" w:hAnsi="宋体" w:cs="宋体"/>
                <w:color w:val="auto"/>
                <w:sz w:val="22"/>
                <w:szCs w:val="21"/>
                <w:lang w:val="en-US" w:eastAsia="zh-CN"/>
              </w:rPr>
            </w:pPr>
            <w:r>
              <w:rPr>
                <w:rFonts w:hint="eastAsia" w:ascii="宋体" w:hAnsi="宋体" w:cs="宋体"/>
                <w:color w:val="auto"/>
                <w:sz w:val="22"/>
                <w:szCs w:val="21"/>
                <w:lang w:val="en-US" w:eastAsia="zh-CN"/>
              </w:rPr>
              <w:t>老旧小区片区联动改造的推进情况</w:t>
            </w:r>
          </w:p>
        </w:tc>
        <w:tc>
          <w:tcPr>
            <w:tcW w:w="6593" w:type="dxa"/>
            <w:tcBorders>
              <w:top w:val="single" w:color="000000" w:sz="4" w:space="0"/>
              <w:left w:val="single" w:color="000000" w:sz="4" w:space="0"/>
              <w:bottom w:val="single" w:color="000000" w:sz="4" w:space="0"/>
              <w:right w:val="single" w:color="000000" w:sz="4" w:space="0"/>
            </w:tcBorders>
            <w:vAlign w:val="center"/>
          </w:tcPr>
          <w:p>
            <w:pPr>
              <w:widowControl/>
              <w:numPr>
                <w:ilvl w:val="0"/>
                <w:numId w:val="0"/>
              </w:numPr>
              <w:spacing w:line="300" w:lineRule="exact"/>
              <w:jc w:val="left"/>
              <w:textAlignment w:val="center"/>
              <w:rPr>
                <w:rFonts w:hint="default" w:ascii="宋体" w:hAnsi="宋体" w:cs="宋体"/>
                <w:color w:val="auto"/>
                <w:sz w:val="22"/>
                <w:szCs w:val="21"/>
                <w:lang w:val="en-US" w:eastAsia="zh-CN"/>
              </w:rPr>
            </w:pPr>
            <w:r>
              <w:rPr>
                <w:rFonts w:hint="eastAsia" w:ascii="宋体" w:hAnsi="宋体" w:cs="宋体"/>
                <w:color w:val="auto"/>
                <w:sz w:val="22"/>
                <w:szCs w:val="21"/>
                <w:lang w:val="en-US" w:eastAsia="zh-CN"/>
              </w:rPr>
              <w:t>1.积极推进相邻老旧小区与周边地区联动，实施连片改造的，得1分；</w:t>
            </w:r>
          </w:p>
          <w:p>
            <w:pPr>
              <w:widowControl/>
              <w:numPr>
                <w:ilvl w:val="0"/>
                <w:numId w:val="0"/>
              </w:numPr>
              <w:spacing w:line="300" w:lineRule="exact"/>
              <w:jc w:val="left"/>
              <w:textAlignment w:val="center"/>
              <w:rPr>
                <w:rFonts w:hint="default" w:ascii="宋体" w:hAnsi="宋体" w:cs="宋体"/>
                <w:color w:val="auto"/>
                <w:sz w:val="22"/>
                <w:szCs w:val="21"/>
                <w:lang w:val="en-US" w:eastAsia="zh-CN"/>
              </w:rPr>
            </w:pPr>
            <w:r>
              <w:rPr>
                <w:rFonts w:hint="eastAsia" w:ascii="宋体" w:hAnsi="宋体" w:cs="宋体"/>
                <w:color w:val="auto"/>
                <w:sz w:val="22"/>
                <w:szCs w:val="21"/>
                <w:lang w:val="en-US" w:eastAsia="zh-CN"/>
              </w:rPr>
              <w:t>2.以居住社区为单元，对待改造小区所在社区设施短板、安全隐患、可利用存量资源等开展摸排，有针对性地确定居民最需要改造建设的各类设施的，得2分；</w:t>
            </w:r>
          </w:p>
          <w:p>
            <w:pPr>
              <w:widowControl/>
              <w:numPr>
                <w:ilvl w:val="0"/>
                <w:numId w:val="0"/>
              </w:numPr>
              <w:spacing w:line="300" w:lineRule="exact"/>
              <w:jc w:val="left"/>
              <w:textAlignment w:val="center"/>
              <w:rPr>
                <w:rFonts w:hint="default" w:ascii="宋体" w:hAnsi="宋体" w:cs="宋体"/>
                <w:color w:val="auto"/>
                <w:sz w:val="22"/>
                <w:szCs w:val="21"/>
                <w:lang w:val="en-US" w:eastAsia="zh-CN"/>
              </w:rPr>
            </w:pPr>
            <w:r>
              <w:rPr>
                <w:rFonts w:hint="eastAsia" w:ascii="宋体" w:hAnsi="宋体" w:cs="宋体"/>
                <w:color w:val="auto"/>
                <w:sz w:val="22"/>
                <w:szCs w:val="21"/>
                <w:lang w:val="en-US" w:eastAsia="zh-CN"/>
              </w:rPr>
              <w:t>3.鼓励改造项目由城镇老旧小区改造规模化实施运营主体实施的，得2分。</w:t>
            </w:r>
          </w:p>
        </w:tc>
        <w:tc>
          <w:tcPr>
            <w:tcW w:w="2707"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left"/>
              <w:rPr>
                <w:rFonts w:hint="eastAsia" w:ascii="宋体" w:hAnsi="宋体" w:cs="宋体"/>
                <w:color w:val="auto"/>
                <w:sz w:val="22"/>
                <w:szCs w:val="21"/>
                <w:lang w:val="en-US" w:eastAsia="zh-CN"/>
              </w:rPr>
            </w:pPr>
            <w:r>
              <w:rPr>
                <w:rFonts w:hint="eastAsia" w:ascii="宋体" w:hAnsi="宋体" w:cs="宋体"/>
                <w:color w:val="auto"/>
                <w:sz w:val="21"/>
                <w:szCs w:val="21"/>
                <w:lang w:val="en-US" w:eastAsia="zh-CN"/>
              </w:rPr>
              <w:t>1.</w:t>
            </w:r>
            <w:r>
              <w:rPr>
                <w:rFonts w:hint="eastAsia" w:ascii="宋体" w:hAnsi="宋体" w:cs="宋体"/>
                <w:color w:val="auto"/>
                <w:sz w:val="22"/>
                <w:szCs w:val="21"/>
                <w:lang w:val="en-US" w:eastAsia="zh-CN"/>
              </w:rPr>
              <w:t>以居住社区为单元，对待改造小区所在社区设施短板、安全隐患、可利用存量资源等开展摸排，有针对性地确定居民最需要改造建设的各类设施</w:t>
            </w:r>
          </w:p>
          <w:p>
            <w:pPr>
              <w:widowControl/>
              <w:spacing w:line="300" w:lineRule="exact"/>
              <w:jc w:val="left"/>
              <w:rPr>
                <w:rFonts w:hint="default" w:ascii="宋体" w:hAnsi="宋体" w:cs="宋体"/>
                <w:color w:val="auto"/>
                <w:sz w:val="22"/>
                <w:szCs w:val="21"/>
                <w:lang w:val="en-US" w:eastAsia="zh-CN"/>
              </w:rPr>
            </w:pP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110" w:hRule="atLeast"/>
        </w:trPr>
        <w:tc>
          <w:tcPr>
            <w:tcW w:w="314" w:type="dxa"/>
            <w:vMerge w:val="restart"/>
            <w:tcBorders>
              <w:top w:val="single" w:color="auto" w:sz="4" w:space="0"/>
              <w:left w:val="single" w:color="auto" w:sz="4" w:space="0"/>
              <w:bottom w:val="single" w:color="auto" w:sz="4" w:space="0"/>
              <w:right w:val="single" w:color="auto" w:sz="4" w:space="0"/>
            </w:tcBorders>
            <w:vAlign w:val="center"/>
          </w:tcPr>
          <w:p>
            <w:pPr>
              <w:widowControl/>
              <w:numPr>
                <w:ilvl w:val="0"/>
                <w:numId w:val="0"/>
              </w:numPr>
              <w:spacing w:line="300" w:lineRule="exact"/>
              <w:jc w:val="center"/>
              <w:textAlignment w:val="center"/>
              <w:rPr>
                <w:rFonts w:hint="eastAsia" w:ascii="宋体" w:hAnsi="宋体" w:cs="宋体"/>
                <w:color w:val="auto"/>
                <w:sz w:val="22"/>
                <w:szCs w:val="21"/>
                <w:lang w:val="en-US" w:eastAsia="zh-CN"/>
              </w:rPr>
            </w:pPr>
            <w:r>
              <w:rPr>
                <w:rFonts w:hint="eastAsia" w:ascii="宋体" w:hAnsi="宋体" w:cs="宋体"/>
                <w:color w:val="auto"/>
                <w:sz w:val="22"/>
                <w:szCs w:val="21"/>
                <w:lang w:val="en-US" w:eastAsia="zh-CN"/>
              </w:rPr>
              <w:t>4</w:t>
            </w:r>
          </w:p>
        </w:tc>
        <w:tc>
          <w:tcPr>
            <w:tcW w:w="570" w:type="dxa"/>
            <w:vMerge w:val="restart"/>
            <w:tcBorders>
              <w:top w:val="single" w:color="auto" w:sz="4" w:space="0"/>
              <w:left w:val="single" w:color="auto" w:sz="4" w:space="0"/>
              <w:bottom w:val="single" w:color="auto" w:sz="4" w:space="0"/>
              <w:right w:val="single" w:color="auto" w:sz="4" w:space="0"/>
            </w:tcBorders>
            <w:vAlign w:val="center"/>
          </w:tcPr>
          <w:p>
            <w:pPr>
              <w:widowControl/>
              <w:numPr>
                <w:ilvl w:val="0"/>
                <w:numId w:val="0"/>
              </w:numPr>
              <w:spacing w:line="300" w:lineRule="exact"/>
              <w:jc w:val="center"/>
              <w:textAlignment w:val="center"/>
              <w:rPr>
                <w:rFonts w:hint="eastAsia" w:ascii="宋体" w:hAnsi="宋体" w:cs="宋体"/>
                <w:color w:val="auto"/>
                <w:sz w:val="22"/>
                <w:szCs w:val="21"/>
                <w:lang w:val="en-US" w:eastAsia="zh-CN"/>
              </w:rPr>
            </w:pPr>
            <w:r>
              <w:rPr>
                <w:rFonts w:hint="eastAsia" w:ascii="宋体" w:hAnsi="宋体" w:cs="宋体"/>
                <w:color w:val="auto"/>
                <w:sz w:val="22"/>
                <w:szCs w:val="21"/>
                <w:lang w:val="en-US" w:eastAsia="zh-CN"/>
              </w:rPr>
              <w:t>效果（25分）</w:t>
            </w:r>
          </w:p>
        </w:tc>
        <w:tc>
          <w:tcPr>
            <w:tcW w:w="732" w:type="dxa"/>
            <w:tcBorders>
              <w:top w:val="single" w:color="000000" w:sz="4" w:space="0"/>
              <w:left w:val="single" w:color="auto" w:sz="4" w:space="0"/>
              <w:bottom w:val="single" w:color="000000" w:sz="4" w:space="0"/>
              <w:right w:val="single" w:color="000000" w:sz="4" w:space="0"/>
            </w:tcBorders>
            <w:vAlign w:val="center"/>
          </w:tcPr>
          <w:p>
            <w:pPr>
              <w:widowControl/>
              <w:numPr>
                <w:ilvl w:val="0"/>
                <w:numId w:val="0"/>
              </w:numPr>
              <w:spacing w:line="300" w:lineRule="exact"/>
              <w:jc w:val="center"/>
              <w:textAlignment w:val="center"/>
              <w:rPr>
                <w:rFonts w:hint="eastAsia" w:ascii="宋体" w:hAnsi="宋体" w:cs="宋体"/>
                <w:color w:val="auto"/>
                <w:sz w:val="22"/>
                <w:szCs w:val="21"/>
                <w:lang w:val="en-US" w:eastAsia="zh-CN"/>
              </w:rPr>
            </w:pPr>
            <w:r>
              <w:rPr>
                <w:rFonts w:hint="eastAsia" w:ascii="宋体" w:hAnsi="宋体" w:cs="宋体"/>
                <w:color w:val="auto"/>
                <w:sz w:val="22"/>
                <w:szCs w:val="21"/>
                <w:lang w:val="en-US" w:eastAsia="zh-CN"/>
              </w:rPr>
              <w:t>社会满意度</w:t>
            </w:r>
          </w:p>
        </w:tc>
        <w:tc>
          <w:tcPr>
            <w:tcW w:w="453" w:type="dxa"/>
            <w:tcBorders>
              <w:top w:val="single" w:color="000000" w:sz="4" w:space="0"/>
              <w:left w:val="single" w:color="000000" w:sz="4" w:space="0"/>
              <w:bottom w:val="single" w:color="000000" w:sz="4" w:space="0"/>
              <w:right w:val="single" w:color="000000" w:sz="4" w:space="0"/>
            </w:tcBorders>
            <w:vAlign w:val="center"/>
          </w:tcPr>
          <w:p>
            <w:pPr>
              <w:widowControl/>
              <w:numPr>
                <w:ilvl w:val="0"/>
                <w:numId w:val="0"/>
              </w:numPr>
              <w:spacing w:line="300" w:lineRule="exact"/>
              <w:jc w:val="center"/>
              <w:textAlignment w:val="center"/>
              <w:rPr>
                <w:rFonts w:hint="default" w:ascii="宋体" w:hAnsi="宋体" w:cs="宋体"/>
                <w:color w:val="auto"/>
                <w:sz w:val="22"/>
                <w:szCs w:val="21"/>
                <w:lang w:val="en-US" w:eastAsia="zh-CN"/>
              </w:rPr>
            </w:pPr>
            <w:r>
              <w:rPr>
                <w:rFonts w:hint="eastAsia" w:ascii="宋体" w:hAnsi="宋体" w:cs="宋体"/>
                <w:color w:val="auto"/>
                <w:sz w:val="22"/>
                <w:szCs w:val="21"/>
                <w:lang w:val="en-US" w:eastAsia="zh-CN"/>
              </w:rPr>
              <w:t>4分</w:t>
            </w:r>
          </w:p>
        </w:tc>
        <w:tc>
          <w:tcPr>
            <w:tcW w:w="1715" w:type="dxa"/>
            <w:tcBorders>
              <w:top w:val="single" w:color="000000" w:sz="4" w:space="0"/>
              <w:left w:val="single" w:color="000000" w:sz="4" w:space="0"/>
              <w:bottom w:val="single" w:color="000000" w:sz="4" w:space="0"/>
              <w:right w:val="single" w:color="000000" w:sz="4" w:space="0"/>
            </w:tcBorders>
            <w:vAlign w:val="center"/>
          </w:tcPr>
          <w:p>
            <w:pPr>
              <w:widowControl/>
              <w:numPr>
                <w:ilvl w:val="0"/>
                <w:numId w:val="0"/>
              </w:numPr>
              <w:spacing w:line="300" w:lineRule="exact"/>
              <w:jc w:val="left"/>
              <w:textAlignment w:val="center"/>
              <w:rPr>
                <w:rFonts w:hint="eastAsia" w:ascii="宋体" w:hAnsi="宋体" w:cs="宋体"/>
                <w:color w:val="auto"/>
                <w:sz w:val="22"/>
                <w:szCs w:val="21"/>
                <w:lang w:val="en-US" w:eastAsia="zh-CN"/>
              </w:rPr>
            </w:pPr>
            <w:r>
              <w:rPr>
                <w:rFonts w:hint="eastAsia" w:ascii="宋体" w:hAnsi="宋体" w:cs="宋体"/>
                <w:color w:val="auto"/>
                <w:sz w:val="22"/>
                <w:szCs w:val="21"/>
                <w:lang w:val="en-US" w:eastAsia="zh-CN"/>
              </w:rPr>
              <w:t>通过对社会公众、服务对象或政府相关部门人员的调查走访，获取对项目实施效果的满意程度</w:t>
            </w:r>
          </w:p>
        </w:tc>
        <w:tc>
          <w:tcPr>
            <w:tcW w:w="6593" w:type="dxa"/>
            <w:tcBorders>
              <w:top w:val="single" w:color="000000" w:sz="4" w:space="0"/>
              <w:left w:val="single" w:color="000000" w:sz="4" w:space="0"/>
              <w:bottom w:val="single" w:color="000000" w:sz="4" w:space="0"/>
              <w:right w:val="single" w:color="000000" w:sz="4" w:space="0"/>
            </w:tcBorders>
            <w:vAlign w:val="center"/>
          </w:tcPr>
          <w:p>
            <w:pPr>
              <w:widowControl/>
              <w:numPr>
                <w:ilvl w:val="0"/>
                <w:numId w:val="0"/>
              </w:numPr>
              <w:spacing w:line="300" w:lineRule="exact"/>
              <w:jc w:val="left"/>
              <w:textAlignment w:val="center"/>
              <w:rPr>
                <w:rFonts w:hint="default" w:ascii="宋体" w:hAnsi="宋体" w:cs="宋体"/>
                <w:color w:val="auto"/>
                <w:sz w:val="22"/>
                <w:szCs w:val="21"/>
                <w:lang w:val="en-US" w:eastAsia="zh-CN"/>
              </w:rPr>
            </w:pPr>
            <w:r>
              <w:rPr>
                <w:rFonts w:hint="eastAsia" w:ascii="宋体" w:hAnsi="宋体" w:cs="宋体"/>
                <w:color w:val="auto"/>
                <w:sz w:val="22"/>
                <w:szCs w:val="21"/>
                <w:lang w:val="en-US" w:eastAsia="zh-CN"/>
              </w:rPr>
              <w:t>积极回应群众诉求，及时处理群众反映事项，群众满意度达90分以上的，得4分；（80-90分间，按比例得分，低于80分的，此项不得分）</w:t>
            </w:r>
          </w:p>
        </w:tc>
        <w:tc>
          <w:tcPr>
            <w:tcW w:w="2707"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1.</w:t>
            </w:r>
            <w:r>
              <w:rPr>
                <w:rFonts w:hint="eastAsia" w:ascii="宋体" w:hAnsi="宋体" w:cs="宋体"/>
                <w:color w:val="auto"/>
                <w:sz w:val="22"/>
                <w:szCs w:val="21"/>
                <w:lang w:val="en-US" w:eastAsia="zh-CN"/>
              </w:rPr>
              <w:t>积极回应群众诉求，及时处理群众反映事项，群众满意度达90分以上</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3" w:hRule="atLeast"/>
        </w:trPr>
        <w:tc>
          <w:tcPr>
            <w:tcW w:w="314" w:type="dxa"/>
            <w:vMerge w:val="continue"/>
            <w:tcBorders>
              <w:top w:val="single" w:color="auto" w:sz="4" w:space="0"/>
              <w:left w:val="single" w:color="auto" w:sz="4" w:space="0"/>
              <w:bottom w:val="single" w:color="auto" w:sz="4" w:space="0"/>
              <w:right w:val="single" w:color="000000" w:sz="4" w:space="0"/>
            </w:tcBorders>
            <w:vAlign w:val="center"/>
          </w:tcPr>
          <w:p>
            <w:pPr>
              <w:widowControl/>
              <w:spacing w:line="300" w:lineRule="exact"/>
              <w:jc w:val="center"/>
              <w:rPr>
                <w:rFonts w:ascii="宋体" w:hAnsi="宋体" w:cs="宋体"/>
                <w:color w:val="auto"/>
                <w:sz w:val="21"/>
                <w:szCs w:val="21"/>
              </w:rPr>
            </w:pPr>
          </w:p>
        </w:tc>
        <w:tc>
          <w:tcPr>
            <w:tcW w:w="570" w:type="dxa"/>
            <w:vMerge w:val="continue"/>
            <w:tcBorders>
              <w:top w:val="single" w:color="auto" w:sz="4" w:space="0"/>
              <w:left w:val="single" w:color="000000" w:sz="4" w:space="0"/>
              <w:bottom w:val="single" w:color="auto" w:sz="4" w:space="0"/>
              <w:right w:val="single" w:color="auto" w:sz="4" w:space="0"/>
            </w:tcBorders>
            <w:vAlign w:val="center"/>
          </w:tcPr>
          <w:p>
            <w:pPr>
              <w:widowControl/>
              <w:spacing w:line="300" w:lineRule="exact"/>
              <w:jc w:val="center"/>
              <w:rPr>
                <w:rFonts w:ascii="宋体" w:hAnsi="宋体" w:cs="宋体"/>
                <w:color w:val="auto"/>
                <w:sz w:val="21"/>
                <w:szCs w:val="21"/>
              </w:rPr>
            </w:pPr>
          </w:p>
        </w:tc>
        <w:tc>
          <w:tcPr>
            <w:tcW w:w="732" w:type="dxa"/>
            <w:tcBorders>
              <w:top w:val="single" w:color="000000" w:sz="4" w:space="0"/>
              <w:left w:val="single" w:color="auto" w:sz="4" w:space="0"/>
              <w:bottom w:val="single" w:color="000000" w:sz="4" w:space="0"/>
              <w:right w:val="single" w:color="000000" w:sz="4" w:space="0"/>
            </w:tcBorders>
            <w:vAlign w:val="center"/>
          </w:tcPr>
          <w:p>
            <w:pPr>
              <w:widowControl/>
              <w:numPr>
                <w:ilvl w:val="0"/>
                <w:numId w:val="0"/>
              </w:numPr>
              <w:spacing w:line="300" w:lineRule="exact"/>
              <w:jc w:val="center"/>
              <w:textAlignment w:val="center"/>
              <w:rPr>
                <w:rFonts w:hint="eastAsia" w:ascii="宋体" w:hAnsi="宋体" w:cs="宋体"/>
                <w:color w:val="auto"/>
                <w:sz w:val="22"/>
                <w:szCs w:val="21"/>
                <w:lang w:val="en-US" w:eastAsia="zh-CN"/>
              </w:rPr>
            </w:pPr>
            <w:r>
              <w:rPr>
                <w:rFonts w:hint="eastAsia" w:ascii="宋体" w:hAnsi="宋体" w:cs="宋体"/>
                <w:color w:val="auto"/>
                <w:sz w:val="22"/>
                <w:szCs w:val="21"/>
                <w:lang w:val="en-US" w:eastAsia="zh-CN"/>
              </w:rPr>
              <w:t>社会效益</w:t>
            </w:r>
          </w:p>
        </w:tc>
        <w:tc>
          <w:tcPr>
            <w:tcW w:w="453" w:type="dxa"/>
            <w:tcBorders>
              <w:top w:val="single" w:color="000000" w:sz="4" w:space="0"/>
              <w:left w:val="single" w:color="000000" w:sz="4" w:space="0"/>
              <w:bottom w:val="single" w:color="000000" w:sz="4" w:space="0"/>
              <w:right w:val="single" w:color="000000" w:sz="4" w:space="0"/>
            </w:tcBorders>
            <w:vAlign w:val="center"/>
          </w:tcPr>
          <w:p>
            <w:pPr>
              <w:widowControl/>
              <w:numPr>
                <w:ilvl w:val="0"/>
                <w:numId w:val="0"/>
              </w:numPr>
              <w:spacing w:line="300" w:lineRule="exact"/>
              <w:jc w:val="center"/>
              <w:textAlignment w:val="center"/>
              <w:rPr>
                <w:rFonts w:hint="eastAsia" w:ascii="宋体" w:hAnsi="宋体" w:cs="宋体"/>
                <w:color w:val="auto"/>
                <w:sz w:val="22"/>
                <w:szCs w:val="21"/>
                <w:lang w:val="en-US" w:eastAsia="zh-CN"/>
              </w:rPr>
            </w:pPr>
            <w:r>
              <w:rPr>
                <w:rFonts w:hint="eastAsia" w:ascii="宋体" w:hAnsi="宋体" w:cs="宋体"/>
                <w:color w:val="auto"/>
                <w:sz w:val="22"/>
                <w:szCs w:val="21"/>
                <w:lang w:val="en-US" w:eastAsia="zh-CN"/>
              </w:rPr>
              <w:t>13分</w:t>
            </w:r>
          </w:p>
        </w:tc>
        <w:tc>
          <w:tcPr>
            <w:tcW w:w="1715" w:type="dxa"/>
            <w:tcBorders>
              <w:top w:val="single" w:color="000000" w:sz="4" w:space="0"/>
              <w:left w:val="single" w:color="000000" w:sz="4" w:space="0"/>
              <w:bottom w:val="single" w:color="000000" w:sz="4" w:space="0"/>
              <w:right w:val="single" w:color="000000" w:sz="4" w:space="0"/>
            </w:tcBorders>
            <w:vAlign w:val="center"/>
          </w:tcPr>
          <w:p>
            <w:pPr>
              <w:widowControl/>
              <w:numPr>
                <w:ilvl w:val="0"/>
                <w:numId w:val="0"/>
              </w:numPr>
              <w:spacing w:line="300" w:lineRule="exact"/>
              <w:jc w:val="left"/>
              <w:textAlignment w:val="center"/>
              <w:rPr>
                <w:rFonts w:hint="eastAsia" w:ascii="宋体" w:hAnsi="宋体" w:cs="宋体"/>
                <w:color w:val="auto"/>
                <w:sz w:val="22"/>
                <w:szCs w:val="21"/>
                <w:lang w:val="en-US" w:eastAsia="zh-CN"/>
              </w:rPr>
            </w:pPr>
            <w:r>
              <w:rPr>
                <w:rFonts w:hint="eastAsia" w:ascii="宋体" w:hAnsi="宋体" w:cs="宋体"/>
                <w:color w:val="auto"/>
                <w:sz w:val="22"/>
                <w:szCs w:val="21"/>
                <w:lang w:val="en-US" w:eastAsia="zh-CN"/>
              </w:rPr>
              <w:t>项目实施对社会发展所带来直接或间接影响情况</w:t>
            </w:r>
          </w:p>
        </w:tc>
        <w:tc>
          <w:tcPr>
            <w:tcW w:w="6593" w:type="dxa"/>
            <w:tcBorders>
              <w:top w:val="single" w:color="000000" w:sz="4" w:space="0"/>
              <w:left w:val="single" w:color="000000" w:sz="4" w:space="0"/>
              <w:bottom w:val="single" w:color="000000" w:sz="4" w:space="0"/>
              <w:right w:val="single" w:color="000000" w:sz="4" w:space="0"/>
            </w:tcBorders>
            <w:vAlign w:val="center"/>
          </w:tcPr>
          <w:p>
            <w:pPr>
              <w:widowControl/>
              <w:numPr>
                <w:ilvl w:val="0"/>
                <w:numId w:val="0"/>
              </w:numPr>
              <w:spacing w:line="300" w:lineRule="exact"/>
              <w:jc w:val="left"/>
              <w:textAlignment w:val="center"/>
              <w:rPr>
                <w:rFonts w:hint="eastAsia" w:ascii="宋体" w:hAnsi="宋体" w:cs="宋体"/>
                <w:color w:val="auto"/>
                <w:sz w:val="22"/>
                <w:szCs w:val="21"/>
                <w:lang w:val="en-US" w:eastAsia="zh-CN"/>
              </w:rPr>
            </w:pPr>
            <w:r>
              <w:rPr>
                <w:rFonts w:hint="eastAsia" w:ascii="宋体" w:hAnsi="宋体" w:cs="宋体"/>
                <w:color w:val="auto"/>
                <w:sz w:val="22"/>
                <w:szCs w:val="21"/>
                <w:lang w:val="en-US" w:eastAsia="zh-CN"/>
              </w:rPr>
              <w:t>1.通过项目实施，完善了小区内老旧管线等市政配套基础设施，满足居民基本生活需要的，得4分；</w:t>
            </w:r>
          </w:p>
          <w:p>
            <w:pPr>
              <w:widowControl/>
              <w:numPr>
                <w:ilvl w:val="0"/>
                <w:numId w:val="0"/>
              </w:numPr>
              <w:spacing w:line="300" w:lineRule="exact"/>
              <w:jc w:val="left"/>
              <w:textAlignment w:val="center"/>
              <w:rPr>
                <w:rFonts w:hint="default" w:ascii="宋体" w:hAnsi="宋体" w:cs="宋体"/>
                <w:color w:val="auto"/>
                <w:sz w:val="22"/>
                <w:szCs w:val="21"/>
                <w:lang w:val="en-US" w:eastAsia="zh-CN"/>
              </w:rPr>
            </w:pPr>
            <w:r>
              <w:rPr>
                <w:rFonts w:hint="eastAsia" w:ascii="宋体" w:hAnsi="宋体" w:cs="宋体"/>
                <w:color w:val="auto"/>
                <w:sz w:val="22"/>
                <w:szCs w:val="21"/>
                <w:lang w:val="en-US" w:eastAsia="zh-CN"/>
              </w:rPr>
              <w:t>2.通过项目实施，完善了小区内停车、加装电梯、充电、安防、照明、智能信包箱及快件箱等完善类短板，完善居民生活环境的，得4分；</w:t>
            </w:r>
          </w:p>
          <w:p>
            <w:pPr>
              <w:widowControl/>
              <w:numPr>
                <w:ilvl w:val="0"/>
                <w:numId w:val="0"/>
              </w:numPr>
              <w:spacing w:line="300" w:lineRule="exact"/>
              <w:jc w:val="left"/>
              <w:textAlignment w:val="center"/>
              <w:rPr>
                <w:rFonts w:hint="eastAsia" w:ascii="宋体" w:hAnsi="宋体" w:cs="宋体"/>
                <w:color w:val="auto"/>
                <w:sz w:val="22"/>
                <w:szCs w:val="21"/>
                <w:lang w:val="en-US" w:eastAsia="zh-CN"/>
              </w:rPr>
            </w:pPr>
            <w:r>
              <w:rPr>
                <w:rFonts w:hint="eastAsia" w:ascii="宋体" w:hAnsi="宋体" w:cs="宋体"/>
                <w:color w:val="auto"/>
                <w:sz w:val="22"/>
                <w:szCs w:val="21"/>
                <w:lang w:val="en-US" w:eastAsia="zh-CN"/>
              </w:rPr>
              <w:t>3.通过项目实施，补齐了小区内体育健身以及养老、托育，建筑物本体公共部位以及公共区域无障碍设施、适老化改造、适儿化改造等提升类设施短板，提升居民生活水平的，得3分。</w:t>
            </w:r>
          </w:p>
          <w:p>
            <w:pPr>
              <w:widowControl/>
              <w:numPr>
                <w:ilvl w:val="0"/>
                <w:numId w:val="0"/>
              </w:numPr>
              <w:spacing w:line="300" w:lineRule="exact"/>
              <w:jc w:val="left"/>
              <w:textAlignment w:val="center"/>
              <w:rPr>
                <w:rFonts w:hint="default" w:ascii="宋体" w:hAnsi="宋体" w:cs="宋体"/>
                <w:color w:val="auto"/>
                <w:sz w:val="22"/>
                <w:szCs w:val="21"/>
                <w:lang w:val="en-US" w:eastAsia="zh-CN"/>
              </w:rPr>
            </w:pPr>
            <w:r>
              <w:rPr>
                <w:rFonts w:hint="eastAsia" w:ascii="宋体" w:hAnsi="宋体" w:cs="宋体"/>
                <w:color w:val="auto"/>
                <w:sz w:val="22"/>
                <w:szCs w:val="21"/>
                <w:lang w:val="en-US" w:eastAsia="zh-CN"/>
              </w:rPr>
              <w:t>4.完善提升类改造项目数量占比达95%的，得2分。</w:t>
            </w:r>
          </w:p>
        </w:tc>
        <w:tc>
          <w:tcPr>
            <w:tcW w:w="2707"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left"/>
              <w:rPr>
                <w:rFonts w:hint="eastAsia" w:ascii="宋体" w:hAnsi="宋体" w:cs="宋体"/>
                <w:color w:val="auto"/>
                <w:sz w:val="22"/>
                <w:szCs w:val="21"/>
                <w:lang w:val="en-US" w:eastAsia="zh-CN"/>
              </w:rPr>
            </w:pPr>
            <w:r>
              <w:rPr>
                <w:rFonts w:hint="eastAsia" w:ascii="宋体" w:hAnsi="宋体" w:cs="宋体"/>
                <w:color w:val="auto"/>
                <w:sz w:val="21"/>
                <w:szCs w:val="21"/>
                <w:lang w:val="en-US" w:eastAsia="zh-CN"/>
              </w:rPr>
              <w:t>1.</w:t>
            </w:r>
            <w:r>
              <w:rPr>
                <w:rFonts w:hint="eastAsia" w:ascii="宋体" w:hAnsi="宋体" w:cs="宋体"/>
                <w:color w:val="auto"/>
                <w:sz w:val="22"/>
                <w:szCs w:val="21"/>
                <w:lang w:val="en-US" w:eastAsia="zh-CN"/>
              </w:rPr>
              <w:t>通过项目实施，完善了小区内老旧管线等市政配套基础设施，满足居民基本生活需要</w:t>
            </w:r>
          </w:p>
          <w:p>
            <w:pPr>
              <w:widowControl/>
              <w:spacing w:line="300" w:lineRule="exact"/>
              <w:jc w:val="left"/>
              <w:rPr>
                <w:rFonts w:hint="eastAsia" w:ascii="宋体" w:hAnsi="宋体" w:cs="宋体"/>
                <w:color w:val="auto"/>
                <w:sz w:val="22"/>
                <w:szCs w:val="21"/>
                <w:lang w:val="en-US" w:eastAsia="zh-CN"/>
              </w:rPr>
            </w:pPr>
            <w:r>
              <w:rPr>
                <w:rFonts w:hint="eastAsia" w:ascii="宋体" w:hAnsi="宋体" w:cs="宋体"/>
                <w:color w:val="auto"/>
                <w:sz w:val="22"/>
                <w:szCs w:val="21"/>
                <w:lang w:val="en-US" w:eastAsia="zh-CN"/>
              </w:rPr>
              <w:t>2.通过项目实施，完善了充电、安防、照明等完善类短板，完善居民生活环境</w:t>
            </w:r>
          </w:p>
          <w:p>
            <w:pPr>
              <w:widowControl/>
              <w:spacing w:line="300" w:lineRule="exact"/>
              <w:jc w:val="left"/>
              <w:rPr>
                <w:rFonts w:hint="eastAsia" w:ascii="宋体" w:hAnsi="宋体" w:cs="宋体"/>
                <w:color w:val="auto"/>
                <w:sz w:val="22"/>
                <w:szCs w:val="21"/>
                <w:lang w:val="en-US" w:eastAsia="zh-CN"/>
              </w:rPr>
            </w:pPr>
            <w:r>
              <w:rPr>
                <w:rFonts w:hint="eastAsia" w:ascii="宋体" w:hAnsi="宋体" w:cs="宋体"/>
                <w:color w:val="auto"/>
                <w:sz w:val="22"/>
                <w:szCs w:val="21"/>
                <w:lang w:val="en-US" w:eastAsia="zh-CN"/>
              </w:rPr>
              <w:t>3.通过项目实施，补齐了小区内体育健身，改造等提升类设施短板，提升居民生活水平</w:t>
            </w:r>
          </w:p>
          <w:p>
            <w:pPr>
              <w:widowControl/>
              <w:spacing w:line="300" w:lineRule="exact"/>
              <w:jc w:val="left"/>
              <w:rPr>
                <w:rFonts w:hint="default" w:ascii="宋体" w:hAnsi="宋体" w:cs="宋体"/>
                <w:color w:val="auto"/>
                <w:sz w:val="22"/>
                <w:szCs w:val="21"/>
                <w:lang w:val="en-US" w:eastAsia="zh-CN"/>
              </w:rPr>
            </w:pPr>
            <w:r>
              <w:rPr>
                <w:rFonts w:hint="eastAsia" w:ascii="宋体" w:hAnsi="宋体" w:cs="宋体"/>
                <w:color w:val="auto"/>
                <w:sz w:val="22"/>
                <w:szCs w:val="21"/>
                <w:lang w:val="en-US" w:eastAsia="zh-CN"/>
              </w:rPr>
              <w:t>4.完善提升类改造项目数量占比达95%</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314" w:type="dxa"/>
            <w:vMerge w:val="continue"/>
            <w:tcBorders>
              <w:top w:val="single" w:color="auto" w:sz="4" w:space="0"/>
              <w:left w:val="single" w:color="auto" w:sz="4" w:space="0"/>
              <w:bottom w:val="single" w:color="auto" w:sz="4" w:space="0"/>
              <w:right w:val="single" w:color="000000" w:sz="4" w:space="0"/>
            </w:tcBorders>
            <w:vAlign w:val="center"/>
          </w:tcPr>
          <w:p>
            <w:pPr>
              <w:widowControl/>
              <w:spacing w:line="300" w:lineRule="exact"/>
              <w:jc w:val="center"/>
              <w:rPr>
                <w:rFonts w:ascii="宋体" w:hAnsi="宋体" w:cs="宋体"/>
                <w:color w:val="auto"/>
                <w:sz w:val="21"/>
                <w:szCs w:val="21"/>
              </w:rPr>
            </w:pPr>
          </w:p>
        </w:tc>
        <w:tc>
          <w:tcPr>
            <w:tcW w:w="570" w:type="dxa"/>
            <w:vMerge w:val="continue"/>
            <w:tcBorders>
              <w:top w:val="single" w:color="auto" w:sz="4" w:space="0"/>
              <w:left w:val="single" w:color="000000" w:sz="4" w:space="0"/>
              <w:bottom w:val="single" w:color="auto" w:sz="4" w:space="0"/>
              <w:right w:val="single" w:color="auto" w:sz="4" w:space="0"/>
            </w:tcBorders>
            <w:vAlign w:val="center"/>
          </w:tcPr>
          <w:p>
            <w:pPr>
              <w:widowControl/>
              <w:spacing w:line="300" w:lineRule="exact"/>
              <w:jc w:val="center"/>
              <w:rPr>
                <w:rFonts w:ascii="宋体" w:hAnsi="宋体" w:cs="宋体"/>
                <w:color w:val="auto"/>
                <w:sz w:val="21"/>
                <w:szCs w:val="21"/>
              </w:rPr>
            </w:pPr>
          </w:p>
        </w:tc>
        <w:tc>
          <w:tcPr>
            <w:tcW w:w="732" w:type="dxa"/>
            <w:tcBorders>
              <w:top w:val="single" w:color="000000" w:sz="4" w:space="0"/>
              <w:left w:val="single" w:color="auto" w:sz="4" w:space="0"/>
              <w:bottom w:val="single" w:color="000000" w:sz="4" w:space="0"/>
              <w:right w:val="single" w:color="000000" w:sz="4" w:space="0"/>
            </w:tcBorders>
            <w:vAlign w:val="center"/>
          </w:tcPr>
          <w:p>
            <w:pPr>
              <w:widowControl/>
              <w:numPr>
                <w:ilvl w:val="0"/>
                <w:numId w:val="0"/>
              </w:numPr>
              <w:spacing w:line="300" w:lineRule="exact"/>
              <w:jc w:val="center"/>
              <w:textAlignment w:val="center"/>
              <w:rPr>
                <w:rFonts w:hint="eastAsia" w:ascii="宋体" w:hAnsi="宋体" w:cs="宋体"/>
                <w:color w:val="auto"/>
                <w:sz w:val="22"/>
                <w:szCs w:val="21"/>
                <w:lang w:val="en-US" w:eastAsia="zh-CN"/>
              </w:rPr>
            </w:pPr>
            <w:r>
              <w:rPr>
                <w:rFonts w:hint="eastAsia" w:ascii="宋体" w:hAnsi="宋体" w:cs="宋体"/>
                <w:color w:val="auto"/>
                <w:sz w:val="22"/>
                <w:szCs w:val="21"/>
                <w:lang w:val="en-US" w:eastAsia="zh-CN"/>
              </w:rPr>
              <w:t>党建引领</w:t>
            </w:r>
          </w:p>
        </w:tc>
        <w:tc>
          <w:tcPr>
            <w:tcW w:w="453" w:type="dxa"/>
            <w:tcBorders>
              <w:top w:val="single" w:color="000000" w:sz="4" w:space="0"/>
              <w:left w:val="single" w:color="000000" w:sz="4" w:space="0"/>
              <w:bottom w:val="single" w:color="000000" w:sz="4" w:space="0"/>
              <w:right w:val="single" w:color="000000" w:sz="4" w:space="0"/>
            </w:tcBorders>
            <w:vAlign w:val="center"/>
          </w:tcPr>
          <w:p>
            <w:pPr>
              <w:widowControl/>
              <w:numPr>
                <w:ilvl w:val="0"/>
                <w:numId w:val="0"/>
              </w:numPr>
              <w:spacing w:line="300" w:lineRule="exact"/>
              <w:jc w:val="center"/>
              <w:textAlignment w:val="center"/>
              <w:rPr>
                <w:rFonts w:hint="default" w:ascii="宋体" w:hAnsi="宋体" w:cs="宋体"/>
                <w:color w:val="auto"/>
                <w:sz w:val="22"/>
                <w:szCs w:val="21"/>
                <w:lang w:val="en-US" w:eastAsia="zh-CN"/>
              </w:rPr>
            </w:pPr>
            <w:r>
              <w:rPr>
                <w:rFonts w:hint="eastAsia" w:ascii="宋体" w:hAnsi="宋体" w:cs="宋体"/>
                <w:color w:val="auto"/>
                <w:sz w:val="22"/>
                <w:szCs w:val="21"/>
                <w:lang w:val="en-US" w:eastAsia="zh-CN"/>
              </w:rPr>
              <w:t>5分</w:t>
            </w:r>
          </w:p>
        </w:tc>
        <w:tc>
          <w:tcPr>
            <w:tcW w:w="1715" w:type="dxa"/>
            <w:tcBorders>
              <w:top w:val="single" w:color="000000" w:sz="4" w:space="0"/>
              <w:left w:val="single" w:color="000000" w:sz="4" w:space="0"/>
              <w:bottom w:val="single" w:color="000000" w:sz="4" w:space="0"/>
              <w:right w:val="single" w:color="000000" w:sz="4" w:space="0"/>
            </w:tcBorders>
            <w:vAlign w:val="center"/>
          </w:tcPr>
          <w:p>
            <w:pPr>
              <w:widowControl/>
              <w:numPr>
                <w:ilvl w:val="0"/>
                <w:numId w:val="0"/>
              </w:numPr>
              <w:spacing w:line="300" w:lineRule="exact"/>
              <w:jc w:val="left"/>
              <w:textAlignment w:val="center"/>
              <w:rPr>
                <w:rFonts w:hint="eastAsia" w:ascii="宋体" w:hAnsi="宋体" w:cs="宋体"/>
                <w:color w:val="auto"/>
                <w:sz w:val="22"/>
                <w:szCs w:val="21"/>
                <w:lang w:val="en-US" w:eastAsia="zh-CN"/>
              </w:rPr>
            </w:pPr>
            <w:r>
              <w:rPr>
                <w:rFonts w:hint="eastAsia" w:ascii="宋体" w:hAnsi="宋体" w:cs="宋体"/>
                <w:color w:val="auto"/>
                <w:sz w:val="22"/>
                <w:szCs w:val="21"/>
                <w:lang w:val="en-US" w:eastAsia="zh-CN"/>
              </w:rPr>
              <w:t>党建引领老旧小区改造工作推进情况</w:t>
            </w:r>
          </w:p>
        </w:tc>
        <w:tc>
          <w:tcPr>
            <w:tcW w:w="6593" w:type="dxa"/>
            <w:tcBorders>
              <w:top w:val="single" w:color="000000" w:sz="4" w:space="0"/>
              <w:left w:val="single" w:color="000000" w:sz="4" w:space="0"/>
              <w:bottom w:val="single" w:color="000000" w:sz="4" w:space="0"/>
              <w:right w:val="single" w:color="000000" w:sz="4" w:space="0"/>
            </w:tcBorders>
            <w:vAlign w:val="center"/>
          </w:tcPr>
          <w:p>
            <w:pPr>
              <w:widowControl/>
              <w:numPr>
                <w:ilvl w:val="0"/>
                <w:numId w:val="0"/>
              </w:numPr>
              <w:spacing w:line="300" w:lineRule="exact"/>
              <w:jc w:val="left"/>
              <w:textAlignment w:val="center"/>
              <w:rPr>
                <w:rFonts w:hint="default" w:ascii="宋体" w:hAnsi="宋体" w:cs="宋体"/>
                <w:color w:val="auto"/>
                <w:sz w:val="22"/>
                <w:szCs w:val="21"/>
                <w:lang w:val="en-US" w:eastAsia="zh-CN"/>
              </w:rPr>
            </w:pPr>
            <w:r>
              <w:rPr>
                <w:rFonts w:hint="eastAsia" w:ascii="宋体" w:hAnsi="宋体" w:cs="宋体"/>
                <w:color w:val="auto"/>
                <w:sz w:val="22"/>
                <w:szCs w:val="21"/>
                <w:lang w:val="en-US" w:eastAsia="zh-CN"/>
              </w:rPr>
              <w:t>1.改造小区内成立党组织并引领多种形式基层协商的，得2分；</w:t>
            </w:r>
          </w:p>
          <w:p>
            <w:pPr>
              <w:widowControl/>
              <w:numPr>
                <w:ilvl w:val="0"/>
                <w:numId w:val="0"/>
              </w:numPr>
              <w:spacing w:line="300" w:lineRule="exact"/>
              <w:jc w:val="left"/>
              <w:textAlignment w:val="center"/>
              <w:rPr>
                <w:rFonts w:hint="default" w:ascii="宋体" w:hAnsi="宋体" w:cs="宋体"/>
                <w:color w:val="auto"/>
                <w:sz w:val="22"/>
                <w:szCs w:val="21"/>
                <w:lang w:val="en-US" w:eastAsia="zh-CN"/>
              </w:rPr>
            </w:pPr>
            <w:r>
              <w:rPr>
                <w:rFonts w:hint="eastAsia" w:ascii="宋体" w:hAnsi="宋体" w:cs="宋体"/>
                <w:color w:val="auto"/>
                <w:sz w:val="22"/>
                <w:szCs w:val="21"/>
                <w:lang w:val="en-US" w:eastAsia="zh-CN"/>
              </w:rPr>
              <w:t>2.改造小区选举业主委员会并发挥积极作用的，得2分；</w:t>
            </w:r>
          </w:p>
          <w:p>
            <w:pPr>
              <w:widowControl/>
              <w:numPr>
                <w:ilvl w:val="0"/>
                <w:numId w:val="0"/>
              </w:numPr>
              <w:spacing w:line="300" w:lineRule="exact"/>
              <w:jc w:val="left"/>
              <w:textAlignment w:val="center"/>
              <w:rPr>
                <w:rFonts w:hint="default" w:ascii="宋体" w:hAnsi="宋体" w:cs="宋体"/>
                <w:color w:val="auto"/>
                <w:sz w:val="22"/>
                <w:szCs w:val="21"/>
                <w:lang w:val="en-US" w:eastAsia="zh-CN"/>
              </w:rPr>
            </w:pPr>
            <w:r>
              <w:rPr>
                <w:rFonts w:hint="eastAsia" w:ascii="宋体" w:hAnsi="宋体" w:cs="宋体"/>
                <w:color w:val="auto"/>
                <w:sz w:val="22"/>
                <w:szCs w:val="21"/>
                <w:lang w:val="en-US" w:eastAsia="zh-CN"/>
              </w:rPr>
              <w:t>3.改造小区利用线上手段，由居民表决共同决定事项的，得1分。</w:t>
            </w:r>
          </w:p>
        </w:tc>
        <w:tc>
          <w:tcPr>
            <w:tcW w:w="2707"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left"/>
              <w:rPr>
                <w:rFonts w:hint="eastAsia" w:ascii="宋体" w:hAnsi="宋体" w:cs="宋体"/>
                <w:color w:val="auto"/>
                <w:sz w:val="22"/>
                <w:szCs w:val="21"/>
                <w:lang w:val="en-US" w:eastAsia="zh-CN"/>
              </w:rPr>
            </w:pPr>
            <w:r>
              <w:rPr>
                <w:rFonts w:hint="eastAsia" w:ascii="宋体" w:hAnsi="宋体" w:cs="宋体"/>
                <w:color w:val="auto"/>
                <w:sz w:val="21"/>
                <w:szCs w:val="21"/>
                <w:lang w:val="en-US" w:eastAsia="zh-CN"/>
              </w:rPr>
              <w:t>1.</w:t>
            </w:r>
            <w:r>
              <w:rPr>
                <w:rFonts w:hint="eastAsia" w:ascii="宋体" w:hAnsi="宋体" w:cs="宋体"/>
                <w:color w:val="auto"/>
                <w:sz w:val="22"/>
                <w:szCs w:val="21"/>
                <w:lang w:val="en-US" w:eastAsia="zh-CN"/>
              </w:rPr>
              <w:t>改造小区内成立党组织并引领多种形式基层协商</w:t>
            </w:r>
          </w:p>
          <w:p>
            <w:pPr>
              <w:widowControl/>
              <w:spacing w:line="300" w:lineRule="exact"/>
              <w:jc w:val="left"/>
              <w:rPr>
                <w:rFonts w:hint="eastAsia" w:ascii="宋体" w:hAnsi="宋体" w:cs="宋体"/>
                <w:color w:val="auto"/>
                <w:sz w:val="22"/>
                <w:szCs w:val="21"/>
                <w:lang w:val="en-US" w:eastAsia="zh-CN"/>
              </w:rPr>
            </w:pPr>
            <w:r>
              <w:rPr>
                <w:rFonts w:hint="eastAsia" w:ascii="宋体" w:hAnsi="宋体" w:cs="宋体"/>
                <w:color w:val="auto"/>
                <w:sz w:val="22"/>
                <w:szCs w:val="21"/>
                <w:lang w:val="en-US" w:eastAsia="zh-CN"/>
              </w:rPr>
              <w:t>2..改造小区选举业主委员会并发挥积极作用</w:t>
            </w:r>
          </w:p>
          <w:p>
            <w:pPr>
              <w:widowControl/>
              <w:spacing w:line="300" w:lineRule="exact"/>
              <w:jc w:val="left"/>
              <w:rPr>
                <w:rFonts w:hint="default" w:ascii="宋体" w:hAnsi="宋体" w:cs="宋体"/>
                <w:color w:val="auto"/>
                <w:sz w:val="22"/>
                <w:szCs w:val="21"/>
                <w:lang w:val="en-US" w:eastAsia="zh-CN"/>
              </w:rPr>
            </w:pPr>
            <w:r>
              <w:rPr>
                <w:rFonts w:hint="eastAsia" w:ascii="宋体" w:hAnsi="宋体" w:cs="宋体"/>
                <w:color w:val="auto"/>
                <w:sz w:val="22"/>
                <w:szCs w:val="21"/>
                <w:lang w:val="en-US" w:eastAsia="zh-CN"/>
              </w:rPr>
              <w:t>3.改造小区利用线上手段，由居民表决共同决定事项</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314" w:type="dxa"/>
            <w:vMerge w:val="continue"/>
            <w:tcBorders>
              <w:top w:val="single" w:color="auto" w:sz="4" w:space="0"/>
              <w:left w:val="single" w:color="auto" w:sz="4" w:space="0"/>
              <w:bottom w:val="single" w:color="auto" w:sz="4" w:space="0"/>
              <w:right w:val="single" w:color="000000" w:sz="4" w:space="0"/>
            </w:tcBorders>
            <w:vAlign w:val="center"/>
          </w:tcPr>
          <w:p>
            <w:pPr>
              <w:widowControl/>
              <w:spacing w:line="300" w:lineRule="exact"/>
              <w:jc w:val="center"/>
              <w:rPr>
                <w:rFonts w:ascii="宋体" w:hAnsi="宋体" w:cs="宋体"/>
                <w:color w:val="auto"/>
                <w:sz w:val="21"/>
                <w:szCs w:val="21"/>
              </w:rPr>
            </w:pPr>
          </w:p>
        </w:tc>
        <w:tc>
          <w:tcPr>
            <w:tcW w:w="570" w:type="dxa"/>
            <w:vMerge w:val="continue"/>
            <w:tcBorders>
              <w:top w:val="single" w:color="auto" w:sz="4" w:space="0"/>
              <w:left w:val="single" w:color="000000" w:sz="4" w:space="0"/>
              <w:bottom w:val="single" w:color="auto" w:sz="4" w:space="0"/>
              <w:right w:val="single" w:color="auto" w:sz="4" w:space="0"/>
            </w:tcBorders>
            <w:vAlign w:val="center"/>
          </w:tcPr>
          <w:p>
            <w:pPr>
              <w:widowControl/>
              <w:spacing w:line="300" w:lineRule="exact"/>
              <w:jc w:val="center"/>
              <w:rPr>
                <w:rFonts w:ascii="宋体" w:hAnsi="宋体" w:cs="宋体"/>
                <w:color w:val="auto"/>
                <w:sz w:val="21"/>
                <w:szCs w:val="21"/>
              </w:rPr>
            </w:pPr>
          </w:p>
        </w:tc>
        <w:tc>
          <w:tcPr>
            <w:tcW w:w="732" w:type="dxa"/>
            <w:tcBorders>
              <w:top w:val="single" w:color="000000" w:sz="4" w:space="0"/>
              <w:left w:val="single" w:color="auto" w:sz="4" w:space="0"/>
              <w:bottom w:val="single" w:color="000000" w:sz="4" w:space="0"/>
              <w:right w:val="single" w:color="000000" w:sz="4" w:space="0"/>
            </w:tcBorders>
            <w:vAlign w:val="center"/>
          </w:tcPr>
          <w:p>
            <w:pPr>
              <w:widowControl/>
              <w:numPr>
                <w:ilvl w:val="0"/>
                <w:numId w:val="0"/>
              </w:numPr>
              <w:spacing w:line="300" w:lineRule="exact"/>
              <w:ind w:left="0" w:leftChars="0" w:firstLine="0" w:firstLineChars="0"/>
              <w:jc w:val="center"/>
              <w:textAlignment w:val="center"/>
              <w:rPr>
                <w:rFonts w:hint="eastAsia" w:ascii="宋体" w:hAnsi="宋体" w:eastAsia="宋体" w:cs="宋体"/>
                <w:color w:val="auto"/>
                <w:kern w:val="2"/>
                <w:sz w:val="22"/>
                <w:szCs w:val="21"/>
                <w:lang w:val="en-US" w:eastAsia="zh-CN"/>
              </w:rPr>
            </w:pPr>
            <w:r>
              <w:rPr>
                <w:rFonts w:hint="eastAsia" w:ascii="宋体" w:hAnsi="宋体" w:cs="宋体"/>
                <w:color w:val="auto"/>
                <w:sz w:val="22"/>
                <w:szCs w:val="21"/>
                <w:lang w:val="en-US" w:eastAsia="zh-CN"/>
              </w:rPr>
              <w:t>新闻宣传</w:t>
            </w:r>
          </w:p>
        </w:tc>
        <w:tc>
          <w:tcPr>
            <w:tcW w:w="453" w:type="dxa"/>
            <w:tcBorders>
              <w:top w:val="single" w:color="000000" w:sz="4" w:space="0"/>
              <w:left w:val="single" w:color="000000" w:sz="4" w:space="0"/>
              <w:bottom w:val="single" w:color="000000" w:sz="4" w:space="0"/>
              <w:right w:val="single" w:color="000000" w:sz="4" w:space="0"/>
            </w:tcBorders>
            <w:vAlign w:val="center"/>
          </w:tcPr>
          <w:p>
            <w:pPr>
              <w:widowControl/>
              <w:numPr>
                <w:ilvl w:val="0"/>
                <w:numId w:val="0"/>
              </w:numPr>
              <w:spacing w:line="300" w:lineRule="exact"/>
              <w:jc w:val="center"/>
              <w:textAlignment w:val="center"/>
              <w:rPr>
                <w:rFonts w:hint="eastAsia" w:ascii="宋体" w:hAnsi="宋体" w:cs="宋体"/>
                <w:color w:val="auto"/>
                <w:sz w:val="22"/>
                <w:szCs w:val="21"/>
                <w:lang w:val="en-US" w:eastAsia="zh-CN"/>
              </w:rPr>
            </w:pPr>
            <w:r>
              <w:rPr>
                <w:rFonts w:hint="eastAsia" w:ascii="宋体" w:hAnsi="宋体" w:cs="宋体"/>
                <w:color w:val="auto"/>
                <w:sz w:val="22"/>
                <w:szCs w:val="21"/>
                <w:lang w:val="en-US" w:eastAsia="zh-CN"/>
              </w:rPr>
              <w:t>3分</w:t>
            </w:r>
          </w:p>
        </w:tc>
        <w:tc>
          <w:tcPr>
            <w:tcW w:w="1715" w:type="dxa"/>
            <w:tcBorders>
              <w:top w:val="single" w:color="000000" w:sz="4" w:space="0"/>
              <w:left w:val="single" w:color="000000" w:sz="4" w:space="0"/>
              <w:bottom w:val="single" w:color="000000" w:sz="4" w:space="0"/>
              <w:right w:val="single" w:color="000000" w:sz="4" w:space="0"/>
            </w:tcBorders>
            <w:vAlign w:val="center"/>
          </w:tcPr>
          <w:p>
            <w:pPr>
              <w:widowControl/>
              <w:numPr>
                <w:ilvl w:val="0"/>
                <w:numId w:val="0"/>
              </w:numPr>
              <w:spacing w:line="300" w:lineRule="exact"/>
              <w:jc w:val="left"/>
              <w:textAlignment w:val="center"/>
              <w:rPr>
                <w:rFonts w:hint="eastAsia" w:ascii="宋体" w:hAnsi="宋体" w:cs="宋体"/>
                <w:color w:val="auto"/>
                <w:sz w:val="22"/>
                <w:szCs w:val="21"/>
                <w:lang w:val="en-US" w:eastAsia="zh-CN"/>
              </w:rPr>
            </w:pPr>
            <w:r>
              <w:rPr>
                <w:rFonts w:hint="eastAsia" w:ascii="宋体" w:hAnsi="宋体" w:cs="宋体"/>
                <w:color w:val="auto"/>
                <w:sz w:val="22"/>
                <w:szCs w:val="21"/>
                <w:lang w:val="en-US" w:eastAsia="zh-CN"/>
              </w:rPr>
              <w:t>项目实施过程中进行新闻宣传情况</w:t>
            </w:r>
          </w:p>
        </w:tc>
        <w:tc>
          <w:tcPr>
            <w:tcW w:w="6593" w:type="dxa"/>
            <w:tcBorders>
              <w:top w:val="single" w:color="000000" w:sz="4" w:space="0"/>
              <w:left w:val="single" w:color="000000" w:sz="4" w:space="0"/>
              <w:bottom w:val="single" w:color="000000" w:sz="4" w:space="0"/>
              <w:right w:val="single" w:color="000000" w:sz="4" w:space="0"/>
            </w:tcBorders>
            <w:vAlign w:val="center"/>
          </w:tcPr>
          <w:p>
            <w:pPr>
              <w:widowControl w:val="0"/>
              <w:numPr>
                <w:ilvl w:val="0"/>
                <w:numId w:val="0"/>
              </w:numPr>
              <w:wordWrap/>
              <w:adjustRightInd/>
              <w:snapToGrid/>
              <w:spacing w:line="300" w:lineRule="exact"/>
              <w:jc w:val="left"/>
              <w:textAlignment w:val="auto"/>
              <w:rPr>
                <w:rFonts w:hint="eastAsia" w:ascii="宋体" w:hAnsi="宋体" w:cs="宋体"/>
                <w:color w:val="auto"/>
                <w:sz w:val="22"/>
                <w:szCs w:val="21"/>
                <w:lang w:val="en-US" w:eastAsia="zh-CN"/>
              </w:rPr>
            </w:pPr>
            <w:r>
              <w:rPr>
                <w:rFonts w:hint="eastAsia" w:ascii="宋体" w:hAnsi="宋体" w:cs="宋体"/>
                <w:color w:val="auto"/>
                <w:sz w:val="22"/>
                <w:szCs w:val="21"/>
                <w:lang w:val="en-US" w:eastAsia="zh-CN"/>
              </w:rPr>
              <w:t>1.重视宣传工作，宣传优秀项目、典型案例、营造良好舆论氛围（1），年内在当地召开省级现场会（1），在省及以上主要新闻媒体正面报道或在省及以上有关信息专刊上刊载经验、做法或成效的（1），得3分；</w:t>
            </w:r>
          </w:p>
          <w:p>
            <w:pPr>
              <w:widowControl w:val="0"/>
              <w:numPr>
                <w:ilvl w:val="0"/>
                <w:numId w:val="0"/>
              </w:numPr>
              <w:wordWrap/>
              <w:adjustRightInd/>
              <w:snapToGrid/>
              <w:spacing w:line="300" w:lineRule="exact"/>
              <w:jc w:val="left"/>
              <w:textAlignment w:val="auto"/>
              <w:rPr>
                <w:rFonts w:hint="default" w:ascii="宋体" w:hAnsi="宋体" w:cs="宋体"/>
                <w:color w:val="auto"/>
                <w:sz w:val="22"/>
                <w:szCs w:val="21"/>
                <w:lang w:val="en-US" w:eastAsia="zh-CN"/>
              </w:rPr>
            </w:pPr>
            <w:r>
              <w:rPr>
                <w:rFonts w:hint="eastAsia" w:ascii="宋体" w:hAnsi="宋体" w:cs="宋体"/>
                <w:color w:val="auto"/>
                <w:sz w:val="22"/>
                <w:szCs w:val="21"/>
                <w:lang w:val="en-US" w:eastAsia="zh-CN"/>
              </w:rPr>
              <w:t>2.产生重大网络舆情的，发现一例扣0.5分（此项共计1分）。</w:t>
            </w:r>
          </w:p>
        </w:tc>
        <w:tc>
          <w:tcPr>
            <w:tcW w:w="2707"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left"/>
              <w:rPr>
                <w:rFonts w:hint="eastAsia" w:ascii="宋体" w:hAnsi="宋体" w:cs="宋体"/>
                <w:color w:val="auto"/>
                <w:sz w:val="22"/>
                <w:szCs w:val="21"/>
                <w:lang w:val="en-US" w:eastAsia="zh-CN"/>
              </w:rPr>
            </w:pPr>
            <w:r>
              <w:rPr>
                <w:rFonts w:hint="eastAsia" w:ascii="宋体" w:hAnsi="宋体" w:cs="宋体"/>
                <w:color w:val="auto"/>
                <w:sz w:val="21"/>
                <w:szCs w:val="21"/>
                <w:lang w:val="en-US" w:eastAsia="zh-CN"/>
              </w:rPr>
              <w:t>1.</w:t>
            </w:r>
            <w:r>
              <w:rPr>
                <w:rFonts w:hint="eastAsia" w:ascii="宋体" w:hAnsi="宋体" w:cs="宋体"/>
                <w:color w:val="auto"/>
                <w:sz w:val="22"/>
                <w:szCs w:val="21"/>
                <w:lang w:val="en-US" w:eastAsia="zh-CN"/>
              </w:rPr>
              <w:t>重视宣传工作，宣传优秀项目、典型案例、营造良好舆论氛围，在省及以上主要新闻媒体正面报道或在省及以上有关信息专刊上刊载</w:t>
            </w:r>
          </w:p>
          <w:p>
            <w:pPr>
              <w:widowControl/>
              <w:spacing w:line="300" w:lineRule="exact"/>
              <w:jc w:val="left"/>
              <w:rPr>
                <w:rFonts w:hint="default" w:ascii="宋体" w:hAnsi="宋体" w:cs="宋体"/>
                <w:color w:val="auto"/>
                <w:sz w:val="22"/>
                <w:szCs w:val="21"/>
                <w:lang w:val="en-US" w:eastAsia="zh-CN"/>
              </w:rPr>
            </w:pPr>
          </w:p>
          <w:p>
            <w:pPr>
              <w:widowControl/>
              <w:spacing w:line="300" w:lineRule="exact"/>
              <w:jc w:val="left"/>
              <w:rPr>
                <w:rFonts w:hint="default" w:ascii="宋体" w:hAnsi="宋体" w:cs="宋体"/>
                <w:color w:val="auto"/>
                <w:sz w:val="22"/>
                <w:szCs w:val="21"/>
                <w:lang w:val="en-US" w:eastAsia="zh-CN"/>
              </w:rPr>
            </w:pP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314" w:type="dxa"/>
            <w:tcBorders>
              <w:top w:val="single" w:color="auto" w:sz="4" w:space="0"/>
              <w:left w:val="single" w:color="auto" w:sz="4" w:space="0"/>
              <w:bottom w:val="single" w:color="auto" w:sz="4" w:space="0"/>
              <w:right w:val="single" w:color="000000" w:sz="4" w:space="0"/>
            </w:tcBorders>
            <w:vAlign w:val="center"/>
          </w:tcPr>
          <w:p>
            <w:pPr>
              <w:widowControl/>
              <w:spacing w:line="300" w:lineRule="exact"/>
              <w:jc w:val="center"/>
              <w:rPr>
                <w:rFonts w:ascii="宋体" w:hAnsi="宋体" w:cs="宋体"/>
                <w:color w:val="auto"/>
                <w:sz w:val="21"/>
                <w:szCs w:val="21"/>
              </w:rPr>
            </w:pPr>
          </w:p>
        </w:tc>
        <w:tc>
          <w:tcPr>
            <w:tcW w:w="570" w:type="dxa"/>
            <w:tcBorders>
              <w:top w:val="single" w:color="auto" w:sz="4" w:space="0"/>
              <w:left w:val="single" w:color="000000" w:sz="4" w:space="0"/>
              <w:bottom w:val="single" w:color="auto" w:sz="4" w:space="0"/>
              <w:right w:val="single" w:color="auto" w:sz="4" w:space="0"/>
            </w:tcBorders>
            <w:vAlign w:val="center"/>
          </w:tcPr>
          <w:p>
            <w:pPr>
              <w:widowControl/>
              <w:spacing w:line="300" w:lineRule="exact"/>
              <w:jc w:val="center"/>
              <w:rPr>
                <w:rFonts w:ascii="宋体" w:hAnsi="宋体" w:cs="宋体"/>
                <w:color w:val="auto"/>
                <w:sz w:val="21"/>
                <w:szCs w:val="21"/>
              </w:rPr>
            </w:pPr>
          </w:p>
        </w:tc>
        <w:tc>
          <w:tcPr>
            <w:tcW w:w="732" w:type="dxa"/>
            <w:tcBorders>
              <w:top w:val="single" w:color="000000" w:sz="4" w:space="0"/>
              <w:left w:val="single" w:color="auto" w:sz="4" w:space="0"/>
              <w:bottom w:val="single" w:color="000000" w:sz="4" w:space="0"/>
              <w:right w:val="single" w:color="000000" w:sz="4" w:space="0"/>
            </w:tcBorders>
            <w:vAlign w:val="center"/>
          </w:tcPr>
          <w:p>
            <w:pPr>
              <w:widowControl/>
              <w:numPr>
                <w:ilvl w:val="0"/>
                <w:numId w:val="0"/>
              </w:numPr>
              <w:spacing w:line="300" w:lineRule="exact"/>
              <w:ind w:left="0" w:leftChars="0" w:firstLine="0" w:firstLineChars="0"/>
              <w:jc w:val="center"/>
              <w:textAlignment w:val="center"/>
              <w:rPr>
                <w:rFonts w:hint="eastAsia" w:ascii="宋体" w:hAnsi="宋体" w:cs="宋体"/>
                <w:color w:val="auto"/>
                <w:sz w:val="22"/>
                <w:szCs w:val="21"/>
                <w:lang w:val="en-US" w:eastAsia="zh-CN"/>
              </w:rPr>
            </w:pPr>
          </w:p>
        </w:tc>
        <w:tc>
          <w:tcPr>
            <w:tcW w:w="453" w:type="dxa"/>
            <w:tcBorders>
              <w:top w:val="single" w:color="000000" w:sz="4" w:space="0"/>
              <w:left w:val="single" w:color="000000" w:sz="4" w:space="0"/>
              <w:bottom w:val="single" w:color="000000" w:sz="4" w:space="0"/>
              <w:right w:val="single" w:color="000000" w:sz="4" w:space="0"/>
            </w:tcBorders>
            <w:vAlign w:val="center"/>
          </w:tcPr>
          <w:p>
            <w:pPr>
              <w:widowControl/>
              <w:numPr>
                <w:ilvl w:val="0"/>
                <w:numId w:val="0"/>
              </w:numPr>
              <w:spacing w:line="300" w:lineRule="exact"/>
              <w:jc w:val="center"/>
              <w:textAlignment w:val="center"/>
              <w:rPr>
                <w:rFonts w:hint="eastAsia" w:ascii="宋体" w:hAnsi="宋体" w:cs="宋体"/>
                <w:color w:val="auto"/>
                <w:sz w:val="22"/>
                <w:szCs w:val="21"/>
                <w:lang w:val="en-US" w:eastAsia="zh-CN"/>
              </w:rPr>
            </w:pPr>
          </w:p>
        </w:tc>
        <w:tc>
          <w:tcPr>
            <w:tcW w:w="1715" w:type="dxa"/>
            <w:tcBorders>
              <w:top w:val="single" w:color="000000" w:sz="4" w:space="0"/>
              <w:left w:val="single" w:color="000000" w:sz="4" w:space="0"/>
              <w:bottom w:val="single" w:color="000000" w:sz="4" w:space="0"/>
              <w:right w:val="single" w:color="000000" w:sz="4" w:space="0"/>
            </w:tcBorders>
            <w:vAlign w:val="center"/>
          </w:tcPr>
          <w:p>
            <w:pPr>
              <w:widowControl/>
              <w:numPr>
                <w:ilvl w:val="0"/>
                <w:numId w:val="0"/>
              </w:numPr>
              <w:spacing w:line="300" w:lineRule="exact"/>
              <w:jc w:val="left"/>
              <w:textAlignment w:val="center"/>
              <w:rPr>
                <w:rFonts w:hint="eastAsia" w:ascii="宋体" w:hAnsi="宋体" w:cs="宋体"/>
                <w:color w:val="auto"/>
                <w:sz w:val="22"/>
                <w:szCs w:val="21"/>
                <w:lang w:val="en-US" w:eastAsia="zh-CN"/>
              </w:rPr>
            </w:pPr>
          </w:p>
        </w:tc>
        <w:tc>
          <w:tcPr>
            <w:tcW w:w="6593" w:type="dxa"/>
            <w:tcBorders>
              <w:top w:val="single" w:color="000000" w:sz="4" w:space="0"/>
              <w:left w:val="single" w:color="000000" w:sz="4" w:space="0"/>
              <w:bottom w:val="single" w:color="000000" w:sz="4" w:space="0"/>
              <w:right w:val="single" w:color="000000" w:sz="4" w:space="0"/>
            </w:tcBorders>
            <w:vAlign w:val="center"/>
          </w:tcPr>
          <w:p>
            <w:pPr>
              <w:widowControl w:val="0"/>
              <w:numPr>
                <w:ilvl w:val="0"/>
                <w:numId w:val="0"/>
              </w:numPr>
              <w:wordWrap/>
              <w:adjustRightInd/>
              <w:snapToGrid/>
              <w:spacing w:line="300" w:lineRule="exact"/>
              <w:jc w:val="left"/>
              <w:textAlignment w:val="auto"/>
              <w:rPr>
                <w:rFonts w:hint="eastAsia" w:ascii="宋体" w:hAnsi="宋体" w:cs="宋体"/>
                <w:color w:val="auto"/>
                <w:sz w:val="22"/>
                <w:szCs w:val="21"/>
                <w:lang w:val="en-US" w:eastAsia="zh-CN"/>
              </w:rPr>
            </w:pPr>
          </w:p>
        </w:tc>
        <w:tc>
          <w:tcPr>
            <w:tcW w:w="2707"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rPr>
                <w:rFonts w:hint="default" w:ascii="宋体" w:hAnsi="宋体" w:cs="宋体"/>
                <w:color w:val="auto"/>
                <w:sz w:val="22"/>
                <w:szCs w:val="21"/>
                <w:lang w:val="en-US" w:eastAsia="zh-CN"/>
              </w:rPr>
            </w:pPr>
            <w:r>
              <w:rPr>
                <w:rFonts w:hint="eastAsia" w:ascii="宋体" w:hAnsi="宋体" w:cs="宋体"/>
                <w:color w:val="auto"/>
                <w:sz w:val="22"/>
                <w:szCs w:val="21"/>
                <w:lang w:val="en-US" w:eastAsia="zh-CN"/>
              </w:rPr>
              <w:t>合计：</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rPr>
                <w:rFonts w:hint="default" w:ascii="宋体" w:hAnsi="宋体" w:cs="宋体"/>
                <w:color w:val="auto"/>
                <w:sz w:val="21"/>
                <w:szCs w:val="21"/>
                <w:lang w:val="en-US" w:eastAsia="zh-CN"/>
              </w:rPr>
            </w:pPr>
            <w:r>
              <w:rPr>
                <w:rFonts w:hint="eastAsia" w:ascii="宋体" w:hAnsi="宋体" w:cs="宋体"/>
                <w:color w:val="auto"/>
                <w:sz w:val="21"/>
                <w:szCs w:val="21"/>
                <w:lang w:val="en-US" w:eastAsia="zh-CN"/>
              </w:rPr>
              <w:t>100</w:t>
            </w:r>
          </w:p>
        </w:tc>
      </w:tr>
    </w:tbl>
    <w:p/>
    <w:sectPr>
      <w:pgSz w:w="16838" w:h="11906" w:orient="landscape"/>
      <w:pgMar w:top="1247" w:right="1440" w:bottom="1247" w:left="1440" w:header="851" w:footer="992" w:gutter="0"/>
      <w:pgBorders>
        <w:top w:val="none" w:sz="0" w:space="0"/>
        <w:left w:val="none" w:sz="0" w:space="0"/>
        <w:bottom w:val="none" w:sz="0" w:space="0"/>
        <w:right w:val="none" w:sz="0" w:space="0"/>
      </w:pgBorders>
      <w:pgNumType w:fmt="numberInDash"/>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rsids>
    <w:rsidRoot w:val="61D10C56"/>
    <w:rsid w:val="005A7208"/>
    <w:rsid w:val="018C15E8"/>
    <w:rsid w:val="02200C84"/>
    <w:rsid w:val="031B2BA2"/>
    <w:rsid w:val="03F2472C"/>
    <w:rsid w:val="05D57592"/>
    <w:rsid w:val="084D08F3"/>
    <w:rsid w:val="0AC234FD"/>
    <w:rsid w:val="0BC9324D"/>
    <w:rsid w:val="0E522ECB"/>
    <w:rsid w:val="0EA224A6"/>
    <w:rsid w:val="0F582A9A"/>
    <w:rsid w:val="0FEF171B"/>
    <w:rsid w:val="10C55605"/>
    <w:rsid w:val="11673AC3"/>
    <w:rsid w:val="157306F8"/>
    <w:rsid w:val="160D335D"/>
    <w:rsid w:val="16580A59"/>
    <w:rsid w:val="1720665E"/>
    <w:rsid w:val="18E72614"/>
    <w:rsid w:val="198C1D89"/>
    <w:rsid w:val="199855E2"/>
    <w:rsid w:val="1B4E5A53"/>
    <w:rsid w:val="1C0E4FFB"/>
    <w:rsid w:val="1CA96AC4"/>
    <w:rsid w:val="1CC64BB1"/>
    <w:rsid w:val="1D382602"/>
    <w:rsid w:val="1F0301A9"/>
    <w:rsid w:val="1FCF365D"/>
    <w:rsid w:val="201A53C9"/>
    <w:rsid w:val="209429BC"/>
    <w:rsid w:val="21192957"/>
    <w:rsid w:val="22C07FB7"/>
    <w:rsid w:val="23C849B9"/>
    <w:rsid w:val="289F7CB9"/>
    <w:rsid w:val="292D0766"/>
    <w:rsid w:val="29FC3ED5"/>
    <w:rsid w:val="2AAB325D"/>
    <w:rsid w:val="2B18613F"/>
    <w:rsid w:val="2B6E0774"/>
    <w:rsid w:val="2B987268"/>
    <w:rsid w:val="2CA5283F"/>
    <w:rsid w:val="2CEA709A"/>
    <w:rsid w:val="2E224612"/>
    <w:rsid w:val="2E5D564A"/>
    <w:rsid w:val="2E7D6008"/>
    <w:rsid w:val="2E970A8B"/>
    <w:rsid w:val="2EE713B8"/>
    <w:rsid w:val="2EF179FC"/>
    <w:rsid w:val="2F4A0209"/>
    <w:rsid w:val="2FF558FD"/>
    <w:rsid w:val="311B152B"/>
    <w:rsid w:val="31710DF1"/>
    <w:rsid w:val="31D929C8"/>
    <w:rsid w:val="326944B3"/>
    <w:rsid w:val="327B19F4"/>
    <w:rsid w:val="33744A9E"/>
    <w:rsid w:val="338D69D1"/>
    <w:rsid w:val="34A61EF0"/>
    <w:rsid w:val="371A6A93"/>
    <w:rsid w:val="387D5266"/>
    <w:rsid w:val="38C330B4"/>
    <w:rsid w:val="399D00B0"/>
    <w:rsid w:val="39E92488"/>
    <w:rsid w:val="3A5B0CCB"/>
    <w:rsid w:val="3A7B202C"/>
    <w:rsid w:val="3C1A101E"/>
    <w:rsid w:val="3D333715"/>
    <w:rsid w:val="3E171CB9"/>
    <w:rsid w:val="3E52684D"/>
    <w:rsid w:val="3F9943D4"/>
    <w:rsid w:val="405E103B"/>
    <w:rsid w:val="41031EBC"/>
    <w:rsid w:val="412D5350"/>
    <w:rsid w:val="418B2088"/>
    <w:rsid w:val="449F06B2"/>
    <w:rsid w:val="45723C79"/>
    <w:rsid w:val="468C7FCF"/>
    <w:rsid w:val="494B6CBB"/>
    <w:rsid w:val="4AD729EF"/>
    <w:rsid w:val="4D316FBA"/>
    <w:rsid w:val="4D322538"/>
    <w:rsid w:val="4E77452C"/>
    <w:rsid w:val="4ECE701B"/>
    <w:rsid w:val="4F917DE6"/>
    <w:rsid w:val="4FF11A47"/>
    <w:rsid w:val="50666188"/>
    <w:rsid w:val="50B770AB"/>
    <w:rsid w:val="51F4227F"/>
    <w:rsid w:val="52672C68"/>
    <w:rsid w:val="52957398"/>
    <w:rsid w:val="52A86F2C"/>
    <w:rsid w:val="52BB5B6A"/>
    <w:rsid w:val="5373753A"/>
    <w:rsid w:val="540255D9"/>
    <w:rsid w:val="54D91DF5"/>
    <w:rsid w:val="55F06C20"/>
    <w:rsid w:val="55F942A7"/>
    <w:rsid w:val="55FD5959"/>
    <w:rsid w:val="56834CA9"/>
    <w:rsid w:val="5836390E"/>
    <w:rsid w:val="59F1740B"/>
    <w:rsid w:val="59F64346"/>
    <w:rsid w:val="5A893988"/>
    <w:rsid w:val="5A8C597C"/>
    <w:rsid w:val="5C6300BB"/>
    <w:rsid w:val="5CB643DD"/>
    <w:rsid w:val="5CFF7EB3"/>
    <w:rsid w:val="5DE108B0"/>
    <w:rsid w:val="5E8C5954"/>
    <w:rsid w:val="5FCF36E9"/>
    <w:rsid w:val="60403AF1"/>
    <w:rsid w:val="610F6F9A"/>
    <w:rsid w:val="6173726E"/>
    <w:rsid w:val="61D10C56"/>
    <w:rsid w:val="61D70C94"/>
    <w:rsid w:val="62196DAE"/>
    <w:rsid w:val="622D0C04"/>
    <w:rsid w:val="62B4650E"/>
    <w:rsid w:val="62E01AAE"/>
    <w:rsid w:val="631111A2"/>
    <w:rsid w:val="633640E0"/>
    <w:rsid w:val="64EE4C72"/>
    <w:rsid w:val="65374689"/>
    <w:rsid w:val="66615BC1"/>
    <w:rsid w:val="675E7878"/>
    <w:rsid w:val="68442DFB"/>
    <w:rsid w:val="687731D1"/>
    <w:rsid w:val="68D87A1C"/>
    <w:rsid w:val="690F11C8"/>
    <w:rsid w:val="6A364CB1"/>
    <w:rsid w:val="6AD5616F"/>
    <w:rsid w:val="6B1116BB"/>
    <w:rsid w:val="6BF37FAE"/>
    <w:rsid w:val="6EDA2E23"/>
    <w:rsid w:val="700854BC"/>
    <w:rsid w:val="71D165EC"/>
    <w:rsid w:val="7233530C"/>
    <w:rsid w:val="75836E84"/>
    <w:rsid w:val="76B279FE"/>
    <w:rsid w:val="778C5743"/>
    <w:rsid w:val="78C6193F"/>
    <w:rsid w:val="78E2342E"/>
    <w:rsid w:val="79742E70"/>
    <w:rsid w:val="79787359"/>
    <w:rsid w:val="7ACB4A18"/>
    <w:rsid w:val="7B4A08E3"/>
    <w:rsid w:val="7CA270D6"/>
    <w:rsid w:val="7CD64FFA"/>
    <w:rsid w:val="7CF36159"/>
    <w:rsid w:val="7F0043C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46</TotalTime>
  <ScaleCrop>false</ScaleCrop>
  <LinksUpToDate>false</LinksUpToDate>
  <CharactersWithSpaces>0</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2021-12-27T09:47:00Z</dcterms:created>
  <dc:creator>七七</dc:creator>
  <cp:lastModifiedBy>奔跑的菜包子</cp:lastModifiedBy>
  <cp:lastPrinted>2022-01-10T07:03:37Z</cp:lastPrinted>
  <dcterms:modified xsi:type="dcterms:W3CDTF">2022-01-10T07:12:56Z</dcterms:modified>
  <dc:title>安徽省城镇老旧小区改造绩效评价指标</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4921F2887FA44789A259CB0D3659E2D3</vt:lpwstr>
  </property>
</Properties>
</file>