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六安市裕安区扶贫开发局2020年政府信息公开工作年度报告</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ascii="仿宋" w:hAnsi="仿宋" w:eastAsia="仿宋" w:cs="仿宋"/>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ascii="Calibri" w:hAnsi="Calibri" w:cs="Calibri"/>
          <w:sz w:val="21"/>
          <w:szCs w:val="21"/>
        </w:rPr>
      </w:pPr>
      <w:r>
        <w:rPr>
          <w:rFonts w:ascii="仿宋" w:hAnsi="仿宋" w:eastAsia="仿宋" w:cs="仿宋"/>
          <w:sz w:val="32"/>
          <w:szCs w:val="32"/>
        </w:rPr>
        <w:t>根据《中华人民共和国政府信息公开条例》规定和《六安市人民政府办公室关于做好政府信息公开年度报告编制工作的通知》（六政办秘〔</w:t>
      </w:r>
      <w:r>
        <w:rPr>
          <w:rFonts w:hint="eastAsia" w:ascii="仿宋" w:hAnsi="仿宋" w:eastAsia="仿宋" w:cs="仿宋"/>
          <w:sz w:val="32"/>
          <w:szCs w:val="32"/>
        </w:rPr>
        <w:t xml:space="preserve">2020〕161号）等要求，现向社会公布裕安区扶贫开发局2020年信息公开工作报告。本报告涉及总体情况、主动公开政府信息情况、收到和处理政府信息公开申请情况、政府信息公开行政复议和行政诉讼情况、存在的主要问题及改进情况、其他需要报告的事项六部分组成。报告所列数据统计期限自2020年1月1日起至2020年12月31日止。如有疑问，请与裕安区扶贫局办公室联系（地址：裕安区人民政府三楼西侧，邮编:237000，电话:0564-3235725)。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Calibri" w:hAnsi="Calibri" w:cs="Calibri"/>
          <w:sz w:val="21"/>
          <w:szCs w:val="21"/>
        </w:rPr>
      </w:pPr>
      <w:r>
        <w:rPr>
          <w:rFonts w:ascii="黑体" w:hAnsi="宋体" w:eastAsia="黑体" w:cs="黑体"/>
          <w:sz w:val="32"/>
          <w:szCs w:val="32"/>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default" w:ascii="Calibri" w:hAnsi="Calibri" w:cs="Calibri"/>
          <w:sz w:val="21"/>
          <w:szCs w:val="21"/>
        </w:rPr>
      </w:pPr>
      <w:r>
        <w:rPr>
          <w:rFonts w:ascii="楷体" w:hAnsi="楷体" w:eastAsia="楷体" w:cs="楷体"/>
          <w:b/>
          <w:bCs/>
          <w:sz w:val="32"/>
          <w:szCs w:val="32"/>
        </w:rPr>
        <w:t>（一）主动公开情况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default" w:ascii="Calibri" w:hAnsi="Calibri" w:cs="Calibri"/>
          <w:sz w:val="21"/>
          <w:szCs w:val="21"/>
        </w:rPr>
      </w:pPr>
      <w:r>
        <w:rPr>
          <w:rFonts w:hint="eastAsia" w:ascii="仿宋" w:hAnsi="仿宋" w:eastAsia="仿宋" w:cs="仿宋"/>
          <w:sz w:val="32"/>
          <w:szCs w:val="32"/>
        </w:rPr>
        <w:t>2020年按照区委、区政府的部署，我局把政府信息公开工作纳入重要议程，加强组织领导，严格落实责任。本年度我局共主动公开政府信息328条，其中，政策法规17条、重大决策预公开9条、规划计划4条、决策部署落实情况12条、建议提案办理4条、机构领导22条、机构设置7条、财政资金18条、应急管理11条、权责清单和动态调整情况2条、公共服务清单和中介服务清单2条、精准扶贫5条、政策解读26条、回应关切13条、监督保障35条、新闻发布7条、重点领域信息公开精准脱贫134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default" w:ascii="Calibri" w:hAnsi="Calibri" w:cs="Calibri"/>
          <w:sz w:val="21"/>
          <w:szCs w:val="21"/>
        </w:rPr>
      </w:pPr>
      <w:r>
        <w:rPr>
          <w:rFonts w:hint="eastAsia" w:ascii="楷体" w:hAnsi="楷体" w:eastAsia="楷体" w:cs="楷体"/>
          <w:b/>
          <w:bCs/>
          <w:sz w:val="32"/>
          <w:szCs w:val="32"/>
        </w:rPr>
        <w:t>（二）依申请公开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Calibri" w:hAnsi="Calibri" w:cs="Calibri"/>
          <w:sz w:val="21"/>
          <w:szCs w:val="21"/>
        </w:rPr>
      </w:pPr>
      <w:r>
        <w:rPr>
          <w:rFonts w:hint="eastAsia" w:ascii="仿宋" w:hAnsi="仿宋" w:eastAsia="仿宋" w:cs="仿宋"/>
          <w:sz w:val="32"/>
          <w:szCs w:val="32"/>
        </w:rPr>
        <w:t>按照省、市、区统一部署要求，为进一步规范政府信息公开工作，认真抓好依申请公开办理，我局同步调整了依申请公开指南、申请表、流程图等相关内容，健全政府信息公开申请登记、审核、办理、答复、归档的工作制度，并按季度更新政府信息依申请公开目录。2020年我局无依申请公开政府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default" w:ascii="Calibri" w:hAnsi="Calibri" w:cs="Calibri"/>
          <w:sz w:val="21"/>
          <w:szCs w:val="21"/>
        </w:rPr>
      </w:pPr>
      <w:r>
        <w:rPr>
          <w:rFonts w:hint="eastAsia" w:ascii="楷体" w:hAnsi="楷体" w:eastAsia="楷体" w:cs="楷体"/>
          <w:b/>
          <w:bCs/>
          <w:sz w:val="32"/>
          <w:szCs w:val="32"/>
        </w:rPr>
        <w:t>（三）政府信息管理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default" w:ascii="Calibri" w:hAnsi="Calibri" w:cs="Calibri"/>
          <w:sz w:val="21"/>
          <w:szCs w:val="21"/>
        </w:rPr>
      </w:pPr>
      <w:r>
        <w:rPr>
          <w:rFonts w:hint="eastAsia" w:ascii="仿宋" w:hAnsi="仿宋" w:eastAsia="仿宋" w:cs="仿宋"/>
          <w:sz w:val="32"/>
          <w:szCs w:val="32"/>
        </w:rPr>
        <w:t>一是加强组织保障，健全工作机构。明确局综合股（政策法规股）作为政府信息公开的职能科室，全面协调处理日常事务，建立了局主要领导统管、分管领导亲自抓的工作机制，明确相关责任，确定专人负责信息发布。二是进一步建立健全政府信息发布审查工作机制，严格落实信息公开“三审”制度，从政治导向、语言文字、政策法律等各方面把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default" w:ascii="Calibri" w:hAnsi="Calibri" w:cs="Calibri"/>
          <w:sz w:val="21"/>
          <w:szCs w:val="21"/>
        </w:rPr>
      </w:pPr>
      <w:r>
        <w:rPr>
          <w:rFonts w:hint="eastAsia" w:ascii="楷体" w:hAnsi="楷体" w:eastAsia="楷体" w:cs="楷体"/>
          <w:b/>
          <w:bCs/>
          <w:sz w:val="32"/>
          <w:szCs w:val="32"/>
        </w:rPr>
        <w:t>（四）平台建设情况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Calibri" w:hAnsi="Calibri" w:cs="Calibri"/>
          <w:sz w:val="21"/>
          <w:szCs w:val="21"/>
        </w:rPr>
      </w:pPr>
      <w:r>
        <w:rPr>
          <w:rFonts w:hint="eastAsia" w:ascii="仿宋" w:hAnsi="仿宋" w:eastAsia="仿宋" w:cs="仿宋"/>
          <w:sz w:val="32"/>
          <w:szCs w:val="32"/>
        </w:rPr>
        <w:t>按要求完成栏目信息更新，杜绝出现空白栏目，定期排查已公开信息，补差补缺，对网站监测出的问题第一时间整改，并按时报送整改清单，确保网站发布信息的准确性和规范性。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default" w:ascii="Calibri" w:hAnsi="Calibri" w:cs="Calibri"/>
          <w:sz w:val="21"/>
          <w:szCs w:val="21"/>
        </w:rPr>
      </w:pPr>
      <w:r>
        <w:rPr>
          <w:rFonts w:hint="eastAsia" w:ascii="楷体" w:hAnsi="楷体" w:eastAsia="楷体" w:cs="楷体"/>
          <w:b/>
          <w:bCs/>
          <w:sz w:val="32"/>
          <w:szCs w:val="32"/>
        </w:rPr>
        <w:t>（五）政府信息公开监督保障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Calibri" w:hAnsi="Calibri" w:cs="Calibri"/>
          <w:sz w:val="21"/>
          <w:szCs w:val="21"/>
        </w:rPr>
      </w:pPr>
      <w:r>
        <w:rPr>
          <w:rFonts w:hint="eastAsia" w:ascii="仿宋" w:hAnsi="仿宋" w:eastAsia="仿宋" w:cs="仿宋"/>
          <w:sz w:val="32"/>
          <w:szCs w:val="32"/>
        </w:rPr>
        <w:t>一是建立健全政府信息公开工作考核制度、社会评议制度和责任追究制度，定期对政府信息公开工作进行考核、评议。将区电子政务中心监测反馈的问题清单纳入业务股室和个人年终考核，对整改完成不到位的扣除月效能分数，与个人效能直接挂钩。将社会评议纳入各股室和个人年度考核综合成绩中，主要评议政府信息公开的内容的真实性、准确性、及时性。二是加强学习培训，切实提升业务能力。积极参加市、区组织相关培训会议，并加强与区电子政务中心、其他单位沟通交流，学习先进。三是按时按质完成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Calibri" w:hAnsi="Calibri" w:cs="Calibri"/>
          <w:sz w:val="21"/>
          <w:szCs w:val="21"/>
        </w:rPr>
      </w:pPr>
      <w:r>
        <w:rPr>
          <w:rFonts w:hint="eastAsia" w:ascii="黑体" w:hAnsi="宋体" w:eastAsia="黑体" w:cs="黑体"/>
          <w:sz w:val="32"/>
          <w:szCs w:val="32"/>
        </w:rPr>
        <w:t>二、主动公开政府信息情况</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120"/>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信息内容</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本年新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制作数量</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本年新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公开数量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规章</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　　</w:t>
            </w:r>
            <w:r>
              <w:rPr>
                <w:rFonts w:hint="default" w:ascii="Times New Roman" w:hAnsi="Times New Roman" w:cs="Times New Roman"/>
                <w:color w:val="000000"/>
                <w:sz w:val="20"/>
                <w:szCs w:val="20"/>
              </w:rPr>
              <w:t>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color w:val="000000"/>
                <w:sz w:val="20"/>
                <w:szCs w:val="20"/>
              </w:rPr>
              <w:t>0 </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color w:val="000000"/>
                <w:sz w:val="20"/>
                <w:szCs w:val="20"/>
              </w:rPr>
              <w:t>0</w:t>
            </w: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规范性文件</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　　</w:t>
            </w:r>
            <w:r>
              <w:rPr>
                <w:rFonts w:hint="default" w:ascii="Times New Roman" w:hAnsi="Times New Roman" w:cs="Times New Roman"/>
                <w:color w:val="000000"/>
                <w:sz w:val="20"/>
                <w:szCs w:val="20"/>
              </w:rPr>
              <w:t>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color w:val="000000"/>
                <w:sz w:val="20"/>
                <w:szCs w:val="20"/>
              </w:rPr>
              <w:t>0 </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color w:val="000000"/>
                <w:sz w:val="20"/>
                <w:szCs w:val="20"/>
              </w:rPr>
              <w:t>0</w:t>
            </w: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信息内容</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上一年项目数量</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本年增</w:t>
            </w:r>
            <w:r>
              <w:rPr>
                <w:rFonts w:hint="default" w:ascii="Times New Roman" w:hAnsi="Times New Roman" w:cs="Times New Roman"/>
                <w:color w:val="000000"/>
                <w:sz w:val="20"/>
                <w:szCs w:val="20"/>
              </w:rPr>
              <w:t>/</w:t>
            </w:r>
            <w:r>
              <w:rPr>
                <w:rFonts w:hint="eastAsia" w:ascii="宋体" w:hAnsi="宋体" w:eastAsia="宋体" w:cs="宋体"/>
                <w:color w:val="000000"/>
                <w:sz w:val="20"/>
                <w:szCs w:val="20"/>
              </w:rPr>
              <w:t>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行政许可</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　　</w:t>
            </w:r>
            <w:r>
              <w:rPr>
                <w:rFonts w:hint="default" w:ascii="Times New Roman" w:hAnsi="Times New Roman" w:cs="Times New Roman"/>
                <w:color w:val="000000"/>
                <w:sz w:val="20"/>
                <w:szCs w:val="20"/>
              </w:rPr>
              <w:t>0</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color w:val="000000"/>
                <w:sz w:val="20"/>
                <w:szCs w:val="20"/>
              </w:rPr>
              <w:t>0 </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color w:val="000000"/>
                <w:sz w:val="20"/>
                <w:szCs w:val="20"/>
              </w:rPr>
              <w:t>0</w:t>
            </w: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　　</w:t>
            </w:r>
            <w:r>
              <w:rPr>
                <w:rFonts w:hint="default" w:ascii="Times New Roman" w:hAnsi="Times New Roman" w:cs="Times New Roman"/>
                <w:color w:val="000000"/>
                <w:sz w:val="20"/>
                <w:szCs w:val="20"/>
              </w:rPr>
              <w:t>0</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color w:val="000000"/>
                <w:sz w:val="20"/>
                <w:szCs w:val="20"/>
              </w:rPr>
              <w:t>0 </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color w:val="000000"/>
                <w:sz w:val="20"/>
                <w:szCs w:val="20"/>
              </w:rPr>
              <w:t>0</w:t>
            </w: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信息内容</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上一年项目数量</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本年增</w:t>
            </w:r>
            <w:r>
              <w:rPr>
                <w:rFonts w:hint="default" w:ascii="Times New Roman" w:hAnsi="Times New Roman" w:cs="Times New Roman"/>
                <w:color w:val="000000"/>
                <w:sz w:val="20"/>
                <w:szCs w:val="20"/>
              </w:rPr>
              <w:t>/</w:t>
            </w:r>
            <w:r>
              <w:rPr>
                <w:rFonts w:hint="eastAsia" w:ascii="宋体" w:hAnsi="宋体" w:eastAsia="宋体" w:cs="宋体"/>
                <w:color w:val="000000"/>
                <w:sz w:val="20"/>
                <w:szCs w:val="20"/>
              </w:rPr>
              <w:t>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行政处罚</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　　</w:t>
            </w:r>
            <w:r>
              <w:rPr>
                <w:rFonts w:hint="default" w:ascii="Times New Roman" w:hAnsi="Times New Roman" w:cs="Times New Roman"/>
                <w:color w:val="000000"/>
                <w:sz w:val="20"/>
                <w:szCs w:val="20"/>
              </w:rPr>
              <w:t>0</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color w:val="000000"/>
                <w:sz w:val="20"/>
                <w:szCs w:val="20"/>
              </w:rPr>
              <w:t>0 </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color w:val="000000"/>
                <w:sz w:val="20"/>
                <w:szCs w:val="20"/>
              </w:rPr>
              <w:t>0</w:t>
            </w: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行政强制</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　　</w:t>
            </w:r>
            <w:r>
              <w:rPr>
                <w:rFonts w:hint="default" w:ascii="Times New Roman" w:hAnsi="Times New Roman" w:cs="Times New Roman"/>
                <w:color w:val="000000"/>
                <w:sz w:val="20"/>
                <w:szCs w:val="20"/>
              </w:rPr>
              <w:t>0</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color w:val="000000"/>
                <w:sz w:val="20"/>
                <w:szCs w:val="20"/>
              </w:rPr>
              <w:t>0 </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color w:val="000000"/>
                <w:sz w:val="20"/>
                <w:szCs w:val="20"/>
              </w:rPr>
              <w:t>0</w:t>
            </w: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上一年项目数量</w:t>
            </w:r>
          </w:p>
        </w:tc>
        <w:tc>
          <w:tcPr>
            <w:tcW w:w="314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本年增</w:t>
            </w:r>
            <w:r>
              <w:rPr>
                <w:rFonts w:hint="default" w:ascii="Times New Roman" w:hAnsi="Times New Roman" w:cs="Times New Roman"/>
                <w:color w:val="000000"/>
                <w:sz w:val="20"/>
                <w:szCs w:val="20"/>
              </w:rPr>
              <w:t>/</w:t>
            </w:r>
            <w:r>
              <w:rPr>
                <w:rFonts w:hint="eastAsia" w:ascii="宋体" w:hAnsi="宋体" w:eastAsia="宋体" w:cs="宋体"/>
                <w:color w:val="000000"/>
                <w:sz w:val="20"/>
                <w:szCs w:val="20"/>
              </w:rPr>
              <w:t>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行政事业性收费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　</w:t>
            </w:r>
            <w:r>
              <w:rPr>
                <w:rFonts w:hint="default" w:ascii="Times New Roman" w:hAnsi="Times New Roman" w:cs="Times New Roman"/>
                <w:color w:val="000000"/>
                <w:sz w:val="20"/>
                <w:szCs w:val="20"/>
              </w:rPr>
              <w:t>0</w:t>
            </w:r>
          </w:p>
        </w:tc>
        <w:tc>
          <w:tcPr>
            <w:tcW w:w="314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color w:val="000000"/>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采购项目数量</w:t>
            </w:r>
          </w:p>
        </w:tc>
        <w:tc>
          <w:tcPr>
            <w:tcW w:w="314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政府集中采购</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　</w:t>
            </w:r>
            <w:r>
              <w:rPr>
                <w:rFonts w:hint="default" w:ascii="Times New Roman" w:hAnsi="Times New Roman" w:cs="Times New Roman"/>
                <w:color w:val="000000"/>
                <w:sz w:val="20"/>
                <w:szCs w:val="20"/>
              </w:rPr>
              <w:t>0</w:t>
            </w:r>
          </w:p>
        </w:tc>
        <w:tc>
          <w:tcPr>
            <w:tcW w:w="314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3120" w:type="dxa"/>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1875" w:type="dxa"/>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6" w:type="dxa"/>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1260" w:type="dxa"/>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1875" w:type="dxa"/>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Calibri" w:hAnsi="Calibri" w:cs="Calibri"/>
          <w:sz w:val="21"/>
          <w:szCs w:val="21"/>
        </w:rPr>
      </w:pPr>
      <w:r>
        <w:rPr>
          <w:rFonts w:hint="eastAsia" w:ascii="黑体" w:hAnsi="宋体" w:eastAsia="黑体" w:cs="黑体"/>
          <w:sz w:val="32"/>
          <w:szCs w:val="32"/>
        </w:rPr>
        <w:t>三、收到和处理政府信息公开申请情况</w:t>
      </w:r>
    </w:p>
    <w:tbl>
      <w:tblPr>
        <w:tblStyle w:val="3"/>
        <w:tblW w:w="90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17"/>
        <w:gridCol w:w="854"/>
        <w:gridCol w:w="2301"/>
        <w:gridCol w:w="599"/>
        <w:gridCol w:w="755"/>
        <w:gridCol w:w="755"/>
        <w:gridCol w:w="813"/>
        <w:gridCol w:w="974"/>
        <w:gridCol w:w="712"/>
        <w:gridCol w:w="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71"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（本列数据的勾稽关系为：第一项加第二项之和，等于第三项加第四项之和）</w:t>
            </w:r>
          </w:p>
        </w:tc>
        <w:tc>
          <w:tcPr>
            <w:tcW w:w="5300"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7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59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自然人</w:t>
            </w:r>
          </w:p>
        </w:tc>
        <w:tc>
          <w:tcPr>
            <w:tcW w:w="4007"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法人或其他组织</w:t>
            </w:r>
          </w:p>
        </w:tc>
        <w:tc>
          <w:tcPr>
            <w:tcW w:w="69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1" w:hRule="atLeast"/>
          <w:jc w:val="center"/>
        </w:trPr>
        <w:tc>
          <w:tcPr>
            <w:tcW w:w="377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59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科研机构</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社会公益组织</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法律服务机构</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其他</w:t>
            </w: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7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一、本年新收政府信息公开申请数量</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7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二、上年结转政府信息公开申请数量</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三、本年度办理结果</w:t>
            </w:r>
          </w:p>
        </w:tc>
        <w:tc>
          <w:tcPr>
            <w:tcW w:w="31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楷体" w:hAnsi="楷体" w:eastAsia="楷体" w:cs="楷体"/>
                <w:sz w:val="20"/>
                <w:szCs w:val="20"/>
              </w:rPr>
              <w:t>（一）予以公开</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31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楷体" w:hAnsi="楷体" w:eastAsia="楷体" w:cs="楷体"/>
                <w:sz w:val="20"/>
                <w:szCs w:val="20"/>
              </w:rPr>
              <w:t>（二）部分公开（区分处理的，只计这一情形，不计其他情形）</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楷体" w:hAnsi="楷体" w:eastAsia="楷体" w:cs="楷体"/>
                <w:sz w:val="20"/>
                <w:szCs w:val="20"/>
              </w:rPr>
              <w:t>（三）不予公开</w:t>
            </w:r>
          </w:p>
        </w:tc>
        <w:tc>
          <w:tcPr>
            <w:tcW w:w="23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1.</w:t>
            </w:r>
            <w:r>
              <w:rPr>
                <w:rFonts w:hint="eastAsia" w:ascii="楷体" w:hAnsi="楷体" w:eastAsia="楷体" w:cs="楷体"/>
                <w:sz w:val="20"/>
                <w:szCs w:val="20"/>
              </w:rPr>
              <w:t>属于国家秘密</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23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2.</w:t>
            </w:r>
            <w:r>
              <w:rPr>
                <w:rFonts w:hint="eastAsia" w:ascii="楷体" w:hAnsi="楷体" w:eastAsia="楷体" w:cs="楷体"/>
                <w:sz w:val="20"/>
                <w:szCs w:val="20"/>
              </w:rPr>
              <w:t>其他法律行政法规禁止公开</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23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3.</w:t>
            </w:r>
            <w:r>
              <w:rPr>
                <w:rFonts w:hint="eastAsia" w:ascii="楷体" w:hAnsi="楷体" w:eastAsia="楷体" w:cs="楷体"/>
                <w:sz w:val="20"/>
                <w:szCs w:val="20"/>
              </w:rPr>
              <w:t>危及</w:t>
            </w:r>
            <w:r>
              <w:rPr>
                <w:rFonts w:hint="default" w:ascii="Times New Roman" w:hAnsi="Times New Roman" w:cs="Times New Roman"/>
                <w:sz w:val="20"/>
                <w:szCs w:val="20"/>
              </w:rPr>
              <w:t>“</w:t>
            </w:r>
            <w:r>
              <w:rPr>
                <w:rFonts w:hint="eastAsia" w:ascii="楷体" w:hAnsi="楷体" w:eastAsia="楷体" w:cs="楷体"/>
                <w:sz w:val="20"/>
                <w:szCs w:val="20"/>
              </w:rPr>
              <w:t>三安全一稳定</w:t>
            </w:r>
            <w:r>
              <w:rPr>
                <w:rFonts w:hint="default" w:ascii="Times New Roman" w:hAnsi="Times New Roman" w:cs="Times New Roman"/>
                <w:sz w:val="20"/>
                <w:szCs w:val="20"/>
              </w:rPr>
              <w:t>”</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23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4.</w:t>
            </w:r>
            <w:r>
              <w:rPr>
                <w:rFonts w:hint="eastAsia" w:ascii="楷体" w:hAnsi="楷体" w:eastAsia="楷体" w:cs="楷体"/>
                <w:sz w:val="20"/>
                <w:szCs w:val="20"/>
              </w:rPr>
              <w:t>保护第三方合法权益</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23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5.</w:t>
            </w:r>
            <w:r>
              <w:rPr>
                <w:rFonts w:hint="eastAsia" w:ascii="楷体" w:hAnsi="楷体" w:eastAsia="楷体" w:cs="楷体"/>
                <w:sz w:val="20"/>
                <w:szCs w:val="20"/>
              </w:rPr>
              <w:t>属于三类内部事务信息</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23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6.</w:t>
            </w:r>
            <w:r>
              <w:rPr>
                <w:rFonts w:hint="eastAsia" w:ascii="楷体" w:hAnsi="楷体" w:eastAsia="楷体" w:cs="楷体"/>
                <w:sz w:val="20"/>
                <w:szCs w:val="20"/>
              </w:rPr>
              <w:t>属于四类过程性信息</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23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7.</w:t>
            </w:r>
            <w:r>
              <w:rPr>
                <w:rFonts w:hint="eastAsia" w:ascii="楷体" w:hAnsi="楷体" w:eastAsia="楷体" w:cs="楷体"/>
                <w:sz w:val="20"/>
                <w:szCs w:val="20"/>
              </w:rPr>
              <w:t>属于行政执法案卷</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23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8.</w:t>
            </w:r>
            <w:r>
              <w:rPr>
                <w:rFonts w:hint="eastAsia" w:ascii="楷体" w:hAnsi="楷体" w:eastAsia="楷体" w:cs="楷体"/>
                <w:sz w:val="20"/>
                <w:szCs w:val="20"/>
              </w:rPr>
              <w:t>属于行政查询事项</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楷体" w:hAnsi="楷体" w:eastAsia="楷体" w:cs="楷体"/>
                <w:sz w:val="20"/>
                <w:szCs w:val="20"/>
              </w:rPr>
              <w:t>（四）无法提供</w:t>
            </w:r>
          </w:p>
        </w:tc>
        <w:tc>
          <w:tcPr>
            <w:tcW w:w="23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1.</w:t>
            </w:r>
            <w:r>
              <w:rPr>
                <w:rFonts w:hint="eastAsia" w:ascii="楷体" w:hAnsi="楷体" w:eastAsia="楷体" w:cs="楷体"/>
                <w:sz w:val="20"/>
                <w:szCs w:val="20"/>
              </w:rPr>
              <w:t>本机关不掌握相关政府信息</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23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2.</w:t>
            </w:r>
            <w:r>
              <w:rPr>
                <w:rFonts w:hint="eastAsia" w:ascii="楷体" w:hAnsi="楷体" w:eastAsia="楷体" w:cs="楷体"/>
                <w:sz w:val="20"/>
                <w:szCs w:val="20"/>
              </w:rPr>
              <w:t>没有现成信息需要另行制作</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23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3.</w:t>
            </w:r>
            <w:r>
              <w:rPr>
                <w:rFonts w:hint="eastAsia" w:ascii="楷体" w:hAnsi="楷体" w:eastAsia="楷体" w:cs="楷体"/>
                <w:sz w:val="20"/>
                <w:szCs w:val="20"/>
              </w:rPr>
              <w:t>补正后申请内容仍不明确</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楷体" w:hAnsi="楷体" w:eastAsia="楷体" w:cs="楷体"/>
                <w:sz w:val="20"/>
                <w:szCs w:val="20"/>
              </w:rPr>
              <w:t>（五）不予处理</w:t>
            </w:r>
          </w:p>
        </w:tc>
        <w:tc>
          <w:tcPr>
            <w:tcW w:w="23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1.</w:t>
            </w:r>
            <w:r>
              <w:rPr>
                <w:rFonts w:hint="eastAsia" w:ascii="楷体" w:hAnsi="楷体" w:eastAsia="楷体" w:cs="楷体"/>
                <w:sz w:val="20"/>
                <w:szCs w:val="20"/>
              </w:rPr>
              <w:t>信访举报投诉类申请</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23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2.</w:t>
            </w:r>
            <w:r>
              <w:rPr>
                <w:rFonts w:hint="eastAsia" w:ascii="楷体" w:hAnsi="楷体" w:eastAsia="楷体" w:cs="楷体"/>
                <w:sz w:val="20"/>
                <w:szCs w:val="20"/>
              </w:rPr>
              <w:t>重复申请</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23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3.</w:t>
            </w:r>
            <w:r>
              <w:rPr>
                <w:rFonts w:hint="eastAsia" w:ascii="楷体" w:hAnsi="楷体" w:eastAsia="楷体" w:cs="楷体"/>
                <w:sz w:val="20"/>
                <w:szCs w:val="20"/>
              </w:rPr>
              <w:t>要求提供公开出版物</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23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4.</w:t>
            </w:r>
            <w:r>
              <w:rPr>
                <w:rFonts w:hint="eastAsia" w:ascii="楷体" w:hAnsi="楷体" w:eastAsia="楷体" w:cs="楷体"/>
                <w:sz w:val="20"/>
                <w:szCs w:val="20"/>
              </w:rPr>
              <w:t>无正当理由大量反复申请</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23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5.</w:t>
            </w:r>
            <w:r>
              <w:rPr>
                <w:rFonts w:hint="eastAsia" w:ascii="楷体" w:hAnsi="楷体" w:eastAsia="楷体" w:cs="楷体"/>
                <w:sz w:val="20"/>
                <w:szCs w:val="20"/>
              </w:rPr>
              <w:t>要求行政机关确认或重新出具已获取信息</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31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楷体" w:hAnsi="楷体" w:eastAsia="楷体" w:cs="楷体"/>
                <w:sz w:val="20"/>
                <w:szCs w:val="20"/>
              </w:rPr>
              <w:t>（六）其他处理</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31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楷体" w:hAnsi="楷体" w:eastAsia="楷体" w:cs="楷体"/>
                <w:sz w:val="20"/>
                <w:szCs w:val="20"/>
              </w:rPr>
              <w:t>（七）总计</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7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四、结转下年度继续办理</w:t>
            </w:r>
          </w:p>
        </w:tc>
        <w:tc>
          <w:tcPr>
            <w:tcW w:w="5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Calibri" w:hAnsi="Calibri" w:cs="Calibri"/>
          <w:sz w:val="21"/>
          <w:szCs w:val="21"/>
        </w:rPr>
      </w:pPr>
      <w:r>
        <w:rPr>
          <w:rFonts w:hint="eastAsia" w:ascii="黑体" w:hAnsi="宋体" w:eastAsia="黑体" w:cs="黑体"/>
          <w:sz w:val="32"/>
          <w:szCs w:val="32"/>
        </w:rPr>
        <w:t>四、政府信息公开行政复议、行政诉讼情况</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68"/>
        <w:gridCol w:w="568"/>
        <w:gridCol w:w="568"/>
        <w:gridCol w:w="568"/>
        <w:gridCol w:w="611"/>
        <w:gridCol w:w="524"/>
        <w:gridCol w:w="568"/>
        <w:gridCol w:w="568"/>
        <w:gridCol w:w="568"/>
        <w:gridCol w:w="568"/>
        <w:gridCol w:w="568"/>
        <w:gridCol w:w="568"/>
        <w:gridCol w:w="568"/>
        <w:gridCol w:w="569"/>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结果纠正</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其他结果</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尚未审结</w:t>
            </w:r>
          </w:p>
        </w:tc>
        <w:tc>
          <w:tcPr>
            <w:tcW w:w="65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总计</w:t>
            </w:r>
          </w:p>
        </w:tc>
        <w:tc>
          <w:tcPr>
            <w:tcW w:w="2970"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未经复议直接起诉</w:t>
            </w:r>
          </w:p>
        </w:tc>
        <w:tc>
          <w:tcPr>
            <w:tcW w:w="3027"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65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结果纠正</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其他结果</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尚未审结</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总计</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结果纠正</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其他结果</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sz w:val="20"/>
                <w:szCs w:val="20"/>
              </w:rPr>
              <w:t>尚未审结</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eastAsia" w:ascii="宋体" w:hAnsi="宋体" w:eastAsia="宋体" w:cs="宋体"/>
                <w:color w:val="00000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color w:val="000000"/>
                <w:sz w:val="20"/>
                <w:szCs w:val="20"/>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color w:val="000000"/>
                <w:sz w:val="20"/>
                <w:szCs w:val="20"/>
              </w:rPr>
              <w:t>0 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0"/>
                <w:szCs w:val="20"/>
              </w:rPr>
              <w:t> 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Calibri" w:hAnsi="Calibri" w:cs="Calibri"/>
                <w:sz w:val="21"/>
                <w:szCs w:val="21"/>
              </w:rPr>
            </w:pPr>
            <w:r>
              <w:rPr>
                <w:rFonts w:hint="default" w:ascii="Times New Roman" w:hAnsi="Times New Roman" w:cs="Times New Roman"/>
                <w:sz w:val="24"/>
                <w:szCs w:val="24"/>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Calibri" w:hAnsi="Calibri" w:cs="Calibri"/>
          <w:sz w:val="21"/>
          <w:szCs w:val="21"/>
        </w:rPr>
      </w:pPr>
      <w:r>
        <w:rPr>
          <w:rFonts w:hint="eastAsia" w:ascii="黑体" w:hAnsi="宋体" w:eastAsia="黑体" w:cs="黑体"/>
          <w:sz w:val="32"/>
          <w:szCs w:val="32"/>
        </w:rPr>
        <w:t>五、存在的主要问题及改进情况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default" w:ascii="Calibri" w:hAnsi="Calibri" w:cs="Calibri"/>
          <w:sz w:val="21"/>
          <w:szCs w:val="21"/>
        </w:rPr>
      </w:pPr>
      <w:r>
        <w:rPr>
          <w:rFonts w:hint="eastAsia" w:ascii="楷体" w:hAnsi="楷体" w:eastAsia="楷体" w:cs="楷体"/>
          <w:b/>
          <w:bCs/>
          <w:sz w:val="32"/>
          <w:szCs w:val="32"/>
        </w:rPr>
        <w:t>（一）存在的问题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jc w:val="left"/>
        <w:textAlignment w:val="auto"/>
        <w:rPr>
          <w:rFonts w:hint="default" w:ascii="Calibri" w:hAnsi="Calibri" w:cs="Calibri"/>
          <w:sz w:val="21"/>
          <w:szCs w:val="21"/>
        </w:rPr>
      </w:pPr>
      <w:r>
        <w:rPr>
          <w:rFonts w:hint="eastAsia" w:ascii="仿宋" w:hAnsi="仿宋" w:eastAsia="仿宋" w:cs="仿宋"/>
          <w:b/>
          <w:bCs/>
          <w:sz w:val="32"/>
          <w:szCs w:val="32"/>
        </w:rPr>
        <w:t>1.政策发布解读质量不高。</w:t>
      </w:r>
      <w:r>
        <w:rPr>
          <w:rFonts w:hint="eastAsia" w:ascii="仿宋" w:hAnsi="仿宋" w:eastAsia="仿宋" w:cs="仿宋"/>
          <w:sz w:val="32"/>
          <w:szCs w:val="32"/>
        </w:rPr>
        <w:t>对决策背景和依据、制定意义和总体考虑、研判和起草过程、工作目标、主要任务、创新举措、保障措施等要素体现不全面，解读形式不够丰富。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jc w:val="left"/>
        <w:textAlignment w:val="auto"/>
        <w:rPr>
          <w:rFonts w:hint="default" w:ascii="Calibri" w:hAnsi="Calibri" w:cs="Calibri"/>
          <w:sz w:val="21"/>
          <w:szCs w:val="21"/>
        </w:rPr>
      </w:pPr>
      <w:r>
        <w:rPr>
          <w:rFonts w:hint="eastAsia" w:ascii="仿宋" w:hAnsi="仿宋" w:eastAsia="仿宋" w:cs="仿宋"/>
          <w:b/>
          <w:bCs/>
          <w:sz w:val="32"/>
          <w:szCs w:val="32"/>
        </w:rPr>
        <w:t>2.基层政务公开内容标准化规范化不够。</w:t>
      </w:r>
      <w:r>
        <w:rPr>
          <w:rFonts w:hint="eastAsia" w:ascii="仿宋" w:hAnsi="仿宋" w:eastAsia="仿宋" w:cs="仿宋"/>
          <w:sz w:val="32"/>
          <w:szCs w:val="32"/>
        </w:rPr>
        <w:t>公开的内容不够全面，存在事后公开，更新内容不够及时有效。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default" w:ascii="Calibri" w:hAnsi="Calibri" w:cs="Calibri"/>
          <w:sz w:val="21"/>
          <w:szCs w:val="21"/>
        </w:rPr>
      </w:pPr>
      <w:r>
        <w:rPr>
          <w:rFonts w:hint="eastAsia" w:ascii="楷体" w:hAnsi="楷体" w:eastAsia="楷体" w:cs="楷体"/>
          <w:b/>
          <w:bCs/>
          <w:sz w:val="32"/>
          <w:szCs w:val="32"/>
        </w:rPr>
        <w:t>（二）改进措施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jc w:val="left"/>
        <w:textAlignment w:val="auto"/>
        <w:rPr>
          <w:rFonts w:hint="default" w:ascii="Calibri" w:hAnsi="Calibri" w:cs="Calibri"/>
          <w:sz w:val="21"/>
          <w:szCs w:val="21"/>
        </w:rPr>
      </w:pPr>
      <w:r>
        <w:rPr>
          <w:rFonts w:hint="eastAsia" w:ascii="仿宋" w:hAnsi="仿宋" w:eastAsia="仿宋" w:cs="仿宋"/>
          <w:b/>
          <w:bCs/>
          <w:sz w:val="32"/>
          <w:szCs w:val="32"/>
        </w:rPr>
        <w:t>1.加强和改进政策发布解读回应工作。</w:t>
      </w:r>
      <w:r>
        <w:rPr>
          <w:rFonts w:hint="eastAsia" w:ascii="仿宋" w:hAnsi="仿宋" w:eastAsia="仿宋" w:cs="仿宋"/>
          <w:sz w:val="32"/>
          <w:szCs w:val="32"/>
        </w:rPr>
        <w:t>更加注重对政策背景、重要举措等方面的实质性解读，强化政务舆情回应，确保在应对重大突发事件及社会热点事件时不失声、不缺位。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jc w:val="left"/>
        <w:textAlignment w:val="auto"/>
        <w:rPr>
          <w:rFonts w:hint="default" w:ascii="Calibri" w:hAnsi="Calibri" w:cs="Calibri"/>
          <w:sz w:val="21"/>
          <w:szCs w:val="21"/>
        </w:rPr>
      </w:pPr>
      <w:r>
        <w:rPr>
          <w:rFonts w:hint="eastAsia" w:ascii="仿宋" w:hAnsi="仿宋" w:eastAsia="仿宋" w:cs="仿宋"/>
          <w:b/>
          <w:bCs/>
          <w:sz w:val="32"/>
          <w:szCs w:val="32"/>
        </w:rPr>
        <w:t>2.全面推进基层政务公开标准化规范化。</w:t>
      </w:r>
      <w:r>
        <w:rPr>
          <w:rFonts w:hint="eastAsia" w:ascii="仿宋" w:hAnsi="仿宋" w:eastAsia="仿宋" w:cs="仿宋"/>
          <w:sz w:val="32"/>
          <w:szCs w:val="32"/>
        </w:rPr>
        <w:t>完善工作制度，提升公开质量，对已发布的信息定期评估、动态调整。拓宽政务公开宣传渠道，逐步扩大公开内容，真正做到全面、彻底、及时的公开。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jc w:val="left"/>
        <w:textAlignment w:val="auto"/>
        <w:rPr>
          <w:rFonts w:hint="default" w:ascii="Calibri" w:hAnsi="Calibri" w:cs="Calibri"/>
          <w:sz w:val="21"/>
          <w:szCs w:val="21"/>
        </w:rPr>
      </w:pPr>
      <w:r>
        <w:rPr>
          <w:rFonts w:hint="eastAsia" w:ascii="仿宋" w:hAnsi="仿宋" w:eastAsia="仿宋" w:cs="仿宋"/>
          <w:b/>
          <w:bCs/>
          <w:sz w:val="32"/>
          <w:szCs w:val="32"/>
        </w:rPr>
        <w:t>3.强化责任意识。</w:t>
      </w:r>
      <w:r>
        <w:rPr>
          <w:rFonts w:hint="eastAsia" w:ascii="仿宋" w:hAnsi="仿宋" w:eastAsia="仿宋" w:cs="仿宋"/>
          <w:sz w:val="32"/>
          <w:szCs w:val="32"/>
        </w:rPr>
        <w:t>进一步转变思想观念，不断提高信息公开意识和服务意识，进一步明确工作责任，加强检查督促，并落实到日常工作中,加强政府信息公开工作与日常工作的无缝衔接。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Calibri" w:hAnsi="Calibri" w:cs="Calibri"/>
          <w:sz w:val="21"/>
          <w:szCs w:val="21"/>
        </w:rPr>
      </w:pPr>
      <w:r>
        <w:rPr>
          <w:rFonts w:hint="eastAsia" w:ascii="黑体" w:hAnsi="宋体" w:eastAsia="黑体" w:cs="黑体"/>
          <w:sz w:val="32"/>
          <w:szCs w:val="32"/>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default" w:ascii="Calibri" w:hAnsi="Calibri" w:cs="Calibri"/>
          <w:sz w:val="21"/>
          <w:szCs w:val="21"/>
        </w:rPr>
      </w:pPr>
      <w:r>
        <w:rPr>
          <w:rFonts w:hint="eastAsia" w:ascii="仿宋" w:hAnsi="仿宋" w:eastAsia="仿宋" w:cs="仿宋"/>
          <w:sz w:val="32"/>
          <w:szCs w:val="32"/>
        </w:rPr>
        <w:t>2020年度我局无其他需要报告的事项。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right"/>
        <w:textAlignment w:val="auto"/>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right"/>
        <w:textAlignment w:val="auto"/>
        <w:rPr>
          <w:rFonts w:hint="default" w:ascii="Calibri" w:hAnsi="Calibri" w:cs="Calibri"/>
          <w:sz w:val="21"/>
          <w:szCs w:val="21"/>
        </w:rPr>
      </w:pPr>
      <w:r>
        <w:rPr>
          <w:rFonts w:hint="eastAsia" w:ascii="仿宋" w:hAnsi="仿宋" w:eastAsia="仿宋" w:cs="仿宋"/>
          <w:sz w:val="32"/>
          <w:szCs w:val="32"/>
        </w:rPr>
        <w:t>裕安区扶贫开发局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right"/>
        <w:textAlignment w:val="auto"/>
        <w:rPr>
          <w:rFonts w:hint="default" w:ascii="Calibri" w:hAnsi="Calibri" w:cs="Calibri"/>
          <w:sz w:val="21"/>
          <w:szCs w:val="21"/>
        </w:rPr>
      </w:pPr>
      <w:r>
        <w:rPr>
          <w:rFonts w:hint="eastAsia" w:ascii="仿宋" w:hAnsi="仿宋" w:eastAsia="仿宋" w:cs="仿宋"/>
          <w:sz w:val="32"/>
          <w:szCs w:val="32"/>
        </w:rPr>
        <w:t>2021年1月8日  </w:t>
      </w:r>
    </w:p>
    <w:p>
      <w:pPr>
        <w:keepNext w:val="0"/>
        <w:keepLines w:val="0"/>
        <w:pageBreakBefore w:val="0"/>
        <w:kinsoku/>
        <w:wordWrap/>
        <w:overflowPunct/>
        <w:topLinePunct w:val="0"/>
        <w:autoSpaceDE/>
        <w:autoSpaceDN/>
        <w:bidi w:val="0"/>
        <w:adjustRightInd/>
        <w:snapToGrid/>
        <w:spacing w:line="5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0OWVjNmE5ZmJiYzMxZDY1NDZkYTg2ZDRkZTM1YTcifQ=="/>
  </w:docVars>
  <w:rsids>
    <w:rsidRoot w:val="00000000"/>
    <w:rsid w:val="482463A0"/>
    <w:rsid w:val="6D7D5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2463</Words>
  <Characters>2548</Characters>
  <Lines>0</Lines>
  <Paragraphs>0</Paragraphs>
  <TotalTime>2</TotalTime>
  <ScaleCrop>false</ScaleCrop>
  <LinksUpToDate>false</LinksUpToDate>
  <CharactersWithSpaces>2752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2023-09-07T06:41:00Z</dcterms:created>
  <dc:creator>Administrator</dc:creator>
  <cp:lastModifiedBy>WPS_1548675667</cp:lastModifiedBy>
  <dcterms:modified xsi:type="dcterms:W3CDTF">2023-09-07T06:45:42Z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B1A07320ABA4487CB06CBFBC1EF46C6E_12</vt:lpwstr>
  </property>
</Properties>
</file>