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hint="eastAsia" w:ascii="黑体" w:hAnsi="黑体" w:eastAsia="黑体" w:cs="黑体"/>
          <w:sz w:val="32"/>
          <w:szCs w:val="32"/>
        </w:rPr>
      </w:pPr>
      <w:r>
        <w:rPr>
          <w:rFonts w:hint="eastAsia" w:ascii="黑体" w:hAnsi="黑体" w:eastAsia="黑体" w:cs="黑体"/>
          <w:sz w:val="32"/>
          <w:szCs w:val="32"/>
        </w:rPr>
        <w:t>附件1</w:t>
      </w:r>
    </w:p>
    <w:tbl>
      <w:tblPr>
        <w:tblStyle w:val="2"/>
        <w:tblpPr w:leftFromText="180" w:rightFromText="180" w:vertAnchor="text" w:horzAnchor="page" w:tblpX="1347" w:tblpY="771"/>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08"/>
        <w:gridCol w:w="5810"/>
        <w:gridCol w:w="1260"/>
        <w:gridCol w:w="13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2" w:hRule="atLeast"/>
        </w:trPr>
        <w:tc>
          <w:tcPr>
            <w:tcW w:w="908"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b/>
                <w:bCs/>
                <w:sz w:val="28"/>
                <w:szCs w:val="28"/>
              </w:rPr>
            </w:pPr>
            <w:r>
              <w:rPr>
                <w:rFonts w:ascii="仿宋_GB2312" w:eastAsia="仿宋_GB2312"/>
                <w:b/>
                <w:bCs/>
                <w:sz w:val="28"/>
                <w:szCs w:val="28"/>
              </w:rPr>
              <w:t>分级</w:t>
            </w:r>
            <w:r>
              <w:rPr>
                <w:rFonts w:hint="eastAsia" w:ascii="仿宋_GB2312" w:eastAsia="仿宋_GB2312"/>
                <w:b/>
                <w:bCs/>
                <w:sz w:val="28"/>
                <w:szCs w:val="28"/>
              </w:rPr>
              <w:t xml:space="preserve"> </w:t>
            </w:r>
          </w:p>
        </w:tc>
        <w:tc>
          <w:tcPr>
            <w:tcW w:w="581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b/>
                <w:bCs/>
                <w:sz w:val="28"/>
                <w:szCs w:val="28"/>
              </w:rPr>
            </w:pPr>
            <w:r>
              <w:rPr>
                <w:rFonts w:ascii="仿宋_GB2312" w:eastAsia="仿宋_GB2312"/>
                <w:b/>
                <w:bCs/>
                <w:sz w:val="28"/>
                <w:szCs w:val="28"/>
              </w:rPr>
              <w:t>标准</w:t>
            </w:r>
            <w:r>
              <w:rPr>
                <w:rFonts w:hint="eastAsia" w:ascii="仿宋_GB2312" w:eastAsia="仿宋_GB2312"/>
                <w:b/>
                <w:bCs/>
                <w:sz w:val="28"/>
                <w:szCs w:val="28"/>
              </w:rPr>
              <w:t xml:space="preserve"> </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b/>
                <w:bCs/>
                <w:sz w:val="28"/>
                <w:szCs w:val="28"/>
              </w:rPr>
            </w:pPr>
            <w:r>
              <w:rPr>
                <w:rFonts w:ascii="仿宋_GB2312" w:eastAsia="仿宋_GB2312"/>
                <w:b/>
                <w:bCs/>
                <w:sz w:val="28"/>
                <w:szCs w:val="28"/>
              </w:rPr>
              <w:t>响应级别</w:t>
            </w:r>
            <w:r>
              <w:rPr>
                <w:rFonts w:hint="eastAsia" w:ascii="仿宋_GB2312" w:eastAsia="仿宋_GB2312"/>
                <w:b/>
                <w:bCs/>
                <w:sz w:val="28"/>
                <w:szCs w:val="28"/>
              </w:rPr>
              <w:t xml:space="preserve"> </w:t>
            </w:r>
          </w:p>
        </w:tc>
        <w:tc>
          <w:tcPr>
            <w:tcW w:w="1362"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b/>
                <w:bCs/>
                <w:sz w:val="28"/>
                <w:szCs w:val="28"/>
              </w:rPr>
            </w:pPr>
            <w:r>
              <w:rPr>
                <w:rFonts w:ascii="仿宋_GB2312" w:eastAsia="仿宋_GB2312"/>
                <w:b/>
                <w:bCs/>
                <w:sz w:val="28"/>
                <w:szCs w:val="28"/>
              </w:rPr>
              <w:t>启动级别</w:t>
            </w:r>
            <w:r>
              <w:rPr>
                <w:rFonts w:hint="eastAsia" w:ascii="仿宋_GB2312" w:eastAsia="仿宋_GB2312"/>
                <w:b/>
                <w:bCs/>
                <w:sz w:val="28"/>
                <w:szCs w:val="28"/>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16" w:hRule="atLeast"/>
        </w:trPr>
        <w:tc>
          <w:tcPr>
            <w:tcW w:w="908"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Ⅰ级 </w:t>
            </w:r>
          </w:p>
        </w:tc>
        <w:tc>
          <w:tcPr>
            <w:tcW w:w="581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1．受污染食品流入2个以上省份或国（境）外（含港澳台地区），造成特别严重健康损害后果的，或经评估认为事件危害特别严重的； </w:t>
            </w:r>
          </w:p>
          <w:p>
            <w:pPr>
              <w:spacing w:line="400" w:lineRule="exact"/>
              <w:jc w:val="left"/>
              <w:rPr>
                <w:rFonts w:hint="eastAsia" w:ascii="仿宋_GB2312" w:eastAsia="仿宋_GB2312"/>
                <w:sz w:val="28"/>
                <w:szCs w:val="28"/>
              </w:rPr>
            </w:pPr>
            <w:r>
              <w:rPr>
                <w:rFonts w:hint="eastAsia" w:ascii="仿宋_GB2312" w:eastAsia="仿宋_GB2312"/>
                <w:sz w:val="28"/>
                <w:szCs w:val="28"/>
              </w:rPr>
              <w:t>2．国务院认定的其他Ⅰ级食品安全</w:t>
            </w:r>
            <w:r>
              <w:rPr>
                <w:rFonts w:hint="eastAsia"/>
                <w:sz w:val="28"/>
                <w:szCs w:val="28"/>
              </w:rPr>
              <w:t>事件</w:t>
            </w:r>
            <w:r>
              <w:rPr>
                <w:rFonts w:hint="eastAsia" w:ascii="仿宋_GB2312" w:eastAsia="仿宋_GB2312"/>
                <w:sz w:val="28"/>
                <w:szCs w:val="28"/>
              </w:rPr>
              <w:t xml:space="preserve">。 </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Ⅰ级响应 </w:t>
            </w:r>
          </w:p>
        </w:tc>
        <w:tc>
          <w:tcPr>
            <w:tcW w:w="1362"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国家级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61" w:hRule="atLeast"/>
        </w:trPr>
        <w:tc>
          <w:tcPr>
            <w:tcW w:w="908"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Ⅱ级 </w:t>
            </w:r>
          </w:p>
        </w:tc>
        <w:tc>
          <w:tcPr>
            <w:tcW w:w="581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1．受污染食品流入2个以上设区</w:t>
            </w:r>
            <w:r>
              <w:rPr>
                <w:rFonts w:hint="eastAsia" w:ascii="仿宋_GB2312" w:eastAsia="仿宋_GB2312"/>
                <w:sz w:val="28"/>
                <w:szCs w:val="28"/>
                <w:lang w:eastAsia="zh-CN"/>
              </w:rPr>
              <w:t>市</w:t>
            </w:r>
            <w:r>
              <w:rPr>
                <w:rFonts w:hint="eastAsia" w:ascii="仿宋_GB2312" w:eastAsia="仿宋_GB2312"/>
                <w:sz w:val="28"/>
                <w:szCs w:val="28"/>
              </w:rPr>
              <w:t xml:space="preserve">，造成或经评估认为可能造成对社会公众健康产生严重损害的食物中毒或食源性疾病的； </w:t>
            </w:r>
          </w:p>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2．发现在我国首次出现的新的污染物引起的食源性疾病，造成严重健康损害后果，并有扩散趋势的； </w:t>
            </w:r>
          </w:p>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3．1起食物中毒事件中毒人数在100人以上并出现死亡病例，或出现10人以上死亡的； </w:t>
            </w:r>
          </w:p>
          <w:p>
            <w:pPr>
              <w:spacing w:line="400" w:lineRule="exact"/>
              <w:jc w:val="left"/>
              <w:rPr>
                <w:rFonts w:hint="eastAsia" w:ascii="仿宋_GB2312" w:eastAsia="仿宋_GB2312"/>
                <w:sz w:val="28"/>
                <w:szCs w:val="28"/>
              </w:rPr>
            </w:pPr>
            <w:r>
              <w:rPr>
                <w:rFonts w:hint="eastAsia" w:ascii="仿宋_GB2312" w:eastAsia="仿宋_GB2312"/>
                <w:sz w:val="28"/>
                <w:szCs w:val="28"/>
              </w:rPr>
              <w:t>4．省级以上人民政府认定的其他Ⅱ级食品安全</w:t>
            </w:r>
            <w:r>
              <w:rPr>
                <w:rFonts w:hint="eastAsia"/>
                <w:sz w:val="28"/>
                <w:szCs w:val="28"/>
              </w:rPr>
              <w:t>事件</w:t>
            </w:r>
            <w:r>
              <w:rPr>
                <w:rFonts w:hint="eastAsia" w:ascii="仿宋_GB2312" w:eastAsia="仿宋_GB2312"/>
                <w:sz w:val="28"/>
                <w:szCs w:val="28"/>
              </w:rPr>
              <w:t xml:space="preserve">。 </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Ⅱ级响应 </w:t>
            </w:r>
          </w:p>
        </w:tc>
        <w:tc>
          <w:tcPr>
            <w:tcW w:w="1362"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省级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55" w:hRule="atLeast"/>
        </w:trPr>
        <w:tc>
          <w:tcPr>
            <w:tcW w:w="908"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Ⅲ级 </w:t>
            </w:r>
          </w:p>
        </w:tc>
        <w:tc>
          <w:tcPr>
            <w:tcW w:w="581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1．受污染食品流入2个以上县（</w:t>
            </w:r>
            <w:r>
              <w:rPr>
                <w:rFonts w:hint="eastAsia" w:ascii="仿宋_GB2312" w:eastAsia="仿宋_GB2312"/>
                <w:sz w:val="28"/>
                <w:szCs w:val="28"/>
                <w:lang w:eastAsia="zh-CN"/>
              </w:rPr>
              <w:t>区</w:t>
            </w:r>
            <w:r>
              <w:rPr>
                <w:rFonts w:hint="eastAsia" w:ascii="仿宋_GB2312" w:eastAsia="仿宋_GB2312"/>
                <w:sz w:val="28"/>
                <w:szCs w:val="28"/>
              </w:rPr>
              <w:t xml:space="preserve">），已造成严重健康损害后果的； </w:t>
            </w:r>
          </w:p>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2．1起食物中毒事件中毒人数在100人以上；或出现死亡病例的； </w:t>
            </w:r>
          </w:p>
          <w:p>
            <w:pPr>
              <w:spacing w:line="40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市</w:t>
            </w:r>
            <w:r>
              <w:rPr>
                <w:rFonts w:hint="eastAsia" w:ascii="仿宋_GB2312" w:eastAsia="仿宋_GB2312"/>
                <w:sz w:val="28"/>
                <w:szCs w:val="28"/>
              </w:rPr>
              <w:t>级以上人民政府认定的其他Ⅲ级食品安全</w:t>
            </w:r>
            <w:r>
              <w:rPr>
                <w:rFonts w:hint="eastAsia"/>
                <w:sz w:val="28"/>
                <w:szCs w:val="28"/>
              </w:rPr>
              <w:t>事件</w:t>
            </w:r>
            <w:r>
              <w:rPr>
                <w:rFonts w:hint="eastAsia" w:ascii="仿宋_GB2312" w:eastAsia="仿宋_GB2312"/>
                <w:sz w:val="28"/>
                <w:szCs w:val="28"/>
              </w:rPr>
              <w:t xml:space="preserve">。 </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Ⅲ级响应 </w:t>
            </w:r>
          </w:p>
        </w:tc>
        <w:tc>
          <w:tcPr>
            <w:tcW w:w="1362"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lang w:eastAsia="zh-CN"/>
              </w:rPr>
              <w:t>市</w:t>
            </w:r>
            <w:r>
              <w:rPr>
                <w:rFonts w:hint="eastAsia" w:ascii="仿宋_GB2312" w:eastAsia="仿宋_GB2312"/>
                <w:sz w:val="28"/>
                <w:szCs w:val="28"/>
              </w:rPr>
              <w:t xml:space="preserve">级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7" w:hRule="atLeast"/>
        </w:trPr>
        <w:tc>
          <w:tcPr>
            <w:tcW w:w="908"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Ⅳ级 </w:t>
            </w:r>
          </w:p>
        </w:tc>
        <w:tc>
          <w:tcPr>
            <w:tcW w:w="581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1．存在健康损害的污染食品，已造成严重健康损害后果的； </w:t>
            </w:r>
          </w:p>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2. 1起食物中毒事件中毒人数在99人（含）以下，且未出现死亡病例的； </w:t>
            </w:r>
          </w:p>
          <w:p>
            <w:pPr>
              <w:spacing w:line="400" w:lineRule="exact"/>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区</w:t>
            </w:r>
            <w:r>
              <w:rPr>
                <w:rFonts w:hint="eastAsia" w:ascii="仿宋_GB2312" w:eastAsia="仿宋_GB2312"/>
                <w:sz w:val="28"/>
                <w:szCs w:val="28"/>
              </w:rPr>
              <w:t>级以上人民政府认定的Ⅳ级食品安全</w:t>
            </w:r>
            <w:r>
              <w:rPr>
                <w:rFonts w:hint="eastAsia"/>
                <w:sz w:val="28"/>
                <w:szCs w:val="28"/>
              </w:rPr>
              <w:t>事件</w:t>
            </w:r>
            <w:r>
              <w:rPr>
                <w:rFonts w:hint="eastAsia" w:ascii="仿宋_GB2312" w:eastAsia="仿宋_GB2312"/>
                <w:sz w:val="28"/>
                <w:szCs w:val="28"/>
              </w:rPr>
              <w:t xml:space="preserve">。 </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 xml:space="preserve">必要时启动Ⅳ级响应 </w:t>
            </w:r>
          </w:p>
        </w:tc>
        <w:tc>
          <w:tcPr>
            <w:tcW w:w="1362"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lang w:eastAsia="zh-CN"/>
              </w:rPr>
              <w:t>区</w:t>
            </w:r>
            <w:r>
              <w:rPr>
                <w:rFonts w:hint="eastAsia" w:ascii="仿宋_GB2312" w:eastAsia="仿宋_GB2312"/>
                <w:sz w:val="28"/>
                <w:szCs w:val="28"/>
              </w:rPr>
              <w:t xml:space="preserve">级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0019D"/>
    <w:rsid w:val="5C70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2020-06-28T07:18:00Z</dcterms:created>
  <dc:creator>阿伦达</dc:creator>
  <cp:lastModifiedBy>阿伦达</cp:lastModifiedBy>
  <dcterms:modified xsi:type="dcterms:W3CDTF">2020-06-28T07:18:54Z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